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9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Electronic City averages roughly ₹7,200 per sq ft, up around 21% YoY, with within-corridor pricing ranging ₹7,781 per sq ft in Bommasandra, ₹7,597 in Neotown and ₹10,212 on Hosa Road.</w:t>
      </w:r>
    </w:p>
    <w:p>
      <w:pPr>
        <w:pStyle w:val="ListParagraph"/>
        <w:numPr>
          <w:ilvl w:val="0"/>
          <w:numId w:val="2"/>
        </w:numPr>
        <w:spacing w:after="80"/>
      </w:pPr>
      <w:r>
        <w:rPr>
          <w:b w:val="false"/>
          <w:bCs w:val="false"/>
        </w:rPr>
        <w:t xml:space="preserve">Begur's registry-based average sits at ₹6,886 per sq ft from the past year's recorded transactions, sharply below the ₹12,250 per sq ft asking-price average seen on property portals.</w:t>
      </w:r>
    </w:p>
    <w:p>
      <w:pPr>
        <w:pStyle w:val="ListParagraph"/>
        <w:numPr>
          <w:ilvl w:val="0"/>
          <w:numId w:val="2"/>
        </w:numPr>
        <w:spacing w:after="80"/>
      </w:pPr>
      <w:r>
        <w:rPr>
          <w:b w:val="false"/>
          <w:bCs w:val="false"/>
        </w:rPr>
        <w:t xml:space="preserve">Begur Road's listing average has reached ₹11,500 per sq ft (+28.5% YoY), though actual recorded transactions across 324 deals in the past three years average just ₹6,325 per sq ft — a wide asking-to-transaction gap echoing patterns seen elsewhere in South Bengaluru.</w:t>
      </w:r>
    </w:p>
    <w:p>
      <w:pPr>
        <w:spacing w:after="150"/>
      </w:pPr>
      <w:r>
        <w:rPr>
          <w:i/>
          <w:iCs/>
          <w:color w:val="595959"/>
          <w:sz w:val="18"/>
          <w:szCs w:val="18"/>
        </w:rPr>
        <w:t xml:space="preserve">Sources: RealtyPromoo/OneCityProperty (Electronic City corridor pricing); 99acres (Begur, Begur Road registry vs asking prices).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Hongasandra's rental market remains active, with NoBroker's August 2026 data showing 1BHK rents of ₹10,000-32,000, 2BHK at ₹32,000-55,000 and 3BHK at ₹55,000-75,000 per month.</w:t>
      </w:r>
    </w:p>
    <w:p>
      <w:pPr>
        <w:pStyle w:val="ListParagraph"/>
        <w:numPr>
          <w:ilvl w:val="0"/>
          <w:numId w:val="2"/>
        </w:numPr>
        <w:spacing w:after="80"/>
      </w:pPr>
      <w:r>
        <w:rPr>
          <w:b w:val="false"/>
          <w:bCs w:val="false"/>
        </w:rPr>
        <w:t xml:space="preserve">New-project pricing in Hongasandra is running well above area averages, with a Purva Heritage launch quoting 2BHK units at ₹2.08 crore and 3BHK units at ₹3.04 crore.</w:t>
      </w:r>
    </w:p>
    <w:p>
      <w:pPr>
        <w:pStyle w:val="ListParagraph"/>
        <w:numPr>
          <w:ilvl w:val="0"/>
          <w:numId w:val="2"/>
        </w:numPr>
        <w:spacing w:after="80"/>
      </w:pPr>
      <w:r>
        <w:rPr>
          <w:b w:val="false"/>
          <w:bCs w:val="false"/>
        </w:rPr>
        <w:t xml:space="preserve">The sizable gap between asking and registered transaction prices across Begur, Begur Road and Hongasandra points to continued speculative pricing pressure in South Bengaluru's secondary micro-markets.</w:t>
      </w:r>
    </w:p>
    <w:p>
      <w:pPr>
        <w:spacing w:after="150"/>
      </w:pPr>
      <w:r>
        <w:rPr>
          <w:i/>
          <w:iCs/>
          <w:color w:val="595959"/>
          <w:sz w:val="18"/>
          <w:szCs w:val="18"/>
        </w:rPr>
        <w:t xml:space="preserve">Sources: NoBroker (Hongasandra rentals, new-project pricing); 99acres.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wide divergence between Kaveri-registered transaction prices and portal asking prices across Begur and Begur Road underscores the continued importance of K-RERA and Kaveri registry data for accurate market benchmarking.</w:t>
      </w:r>
    </w:p>
    <w:p>
      <w:pPr>
        <w:pStyle w:val="ListParagraph"/>
        <w:numPr>
          <w:ilvl w:val="0"/>
          <w:numId w:val="2"/>
        </w:numPr>
        <w:spacing w:after="80"/>
      </w:pPr>
      <w:r>
        <w:rPr>
          <w:b w:val="false"/>
          <w:bCs w:val="false"/>
        </w:rPr>
        <w:t xml:space="preserve">CREDAI Karnataka members are likely watching how the RBI's 25bps repo rate hike to 5.50% — its first in nearly four years — filters through to South Bengaluru's affordable-to-mid segment, where EMI sensitivity is historically highest.</w:t>
      </w:r>
    </w:p>
    <w:p>
      <w:pPr>
        <w:pStyle w:val="ListParagraph"/>
        <w:numPr>
          <w:ilvl w:val="0"/>
          <w:numId w:val="2"/>
        </w:numPr>
        <w:spacing w:after="80"/>
      </w:pPr>
      <w:r>
        <w:rPr>
          <w:b w:val="false"/>
          <w:bCs w:val="false"/>
        </w:rPr>
        <w:t xml:space="preserve">A 2022 precedent, when a 50bps RBI hike raised costs in Bengaluru's affordable housing segment, suggests developers in corridors like Electronic City and Begur may need to recalibrate pricing strategies following this fresh tightening cycle.</w:t>
      </w:r>
    </w:p>
    <w:p>
      <w:pPr>
        <w:spacing w:after="150"/>
      </w:pPr>
      <w:r>
        <w:rPr>
          <w:i/>
          <w:iCs/>
          <w:color w:val="595959"/>
          <w:sz w:val="18"/>
          <w:szCs w:val="18"/>
        </w:rPr>
        <w:t xml:space="preserve">Sources: 99acres (Kaveri vs asking price gap); Business Standard (RBI rate hike, 2022 Knight Frank precedent).</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Kerala's residential market is reported to be stabilising at a higher price floor rather than booming or busting, with an average of roughly ₹4,900 per sq ft and a 5.39% rental yield statewide.</w:t>
      </w:r>
    </w:p>
    <w:p>
      <w:pPr>
        <w:pStyle w:val="ListParagraph"/>
        <w:numPr>
          <w:ilvl w:val="0"/>
          <w:numId w:val="2"/>
        </w:numPr>
        <w:spacing w:after="80"/>
      </w:pPr>
      <w:r>
        <w:rPr>
          <w:b w:val="false"/>
          <w:bCs w:val="false"/>
        </w:rPr>
        <w:t xml:space="preserve">Kochi's domestic-to-NRI buyer mix has shifted from roughly 30:70 to around 60:40, a sign that demand is no longer primarily NRI-dependent as the city's market matures.</w:t>
      </w:r>
    </w:p>
    <w:p>
      <w:pPr>
        <w:pStyle w:val="ListParagraph"/>
        <w:numPr>
          <w:ilvl w:val="0"/>
          <w:numId w:val="2"/>
        </w:numPr>
        <w:spacing w:after="80"/>
      </w:pPr>
      <w:r>
        <w:rPr>
          <w:b w:val="false"/>
          <w:bCs w:val="false"/>
        </w:rPr>
        <w:t xml:space="preserve">Gulf NRIs are increasingly shifting toward mid-range apartments, branded projects and ready-to-move homes rather than exclusively prestige villas, reflecting evolving investment priorities.</w:t>
      </w:r>
    </w:p>
    <w:p>
      <w:pPr>
        <w:spacing w:after="150"/>
      </w:pPr>
      <w:r>
        <w:rPr>
          <w:i/>
          <w:iCs/>
          <w:color w:val="595959"/>
          <w:sz w:val="18"/>
          <w:szCs w:val="18"/>
        </w:rPr>
        <w:t xml:space="preserve">Sources: Thithithara (Kerala 2026 price stabilisation, Kochi buyer-mix shift); Buildtech Realty (Gulf NRI investment preferences).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NRI remittances into India are estimated at $23.99 billion annually, alongside ₹3 lakh crore in NRI deposits, together forming a key support pillar for Kerala's residential and commercial real estate demand.</w:t>
      </w:r>
    </w:p>
    <w:p>
      <w:pPr>
        <w:pStyle w:val="ListParagraph"/>
        <w:numPr>
          <w:ilvl w:val="0"/>
          <w:numId w:val="2"/>
        </w:numPr>
        <w:spacing w:after="80"/>
      </w:pPr>
      <w:r>
        <w:rPr>
          <w:b w:val="false"/>
          <w:bCs w:val="false"/>
        </w:rPr>
        <w:t xml:space="preserve">Under FEMA rules, NRIs can freely purchase residential and commercial property across India including Kerala, though agricultural land and farmhouses remain restricted and require RBI permission.</w:t>
      </w:r>
    </w:p>
    <w:p>
      <w:pPr>
        <w:pStyle w:val="ListParagraph"/>
        <w:numPr>
          <w:ilvl w:val="0"/>
          <w:numId w:val="2"/>
        </w:numPr>
        <w:spacing w:after="80"/>
      </w:pPr>
      <w:r>
        <w:rPr>
          <w:b w:val="false"/>
          <w:bCs w:val="false"/>
        </w:rPr>
        <w:t xml:space="preserve">Prime Kochi localities offer rental yields of 4-6%, while Kozhikode's comparatively thinner resale volumes make it a less liquid but potentially higher-upside alternative for NRI investors.</w:t>
      </w:r>
    </w:p>
    <w:p>
      <w:pPr>
        <w:spacing w:after="150"/>
      </w:pPr>
      <w:r>
        <w:rPr>
          <w:i/>
          <w:iCs/>
          <w:color w:val="595959"/>
          <w:sz w:val="18"/>
          <w:szCs w:val="18"/>
        </w:rPr>
        <w:t xml:space="preserve">Sources: Thithithara (NRI remittance and deposit flows); BookPropertyVisit (FEMA rules for NRI buyers); RealtyPromoo (Kochi vs Kozhikode yields).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Kerala is likely to view Kochi's maturing 60:40 domestic-NRI buyer mix as evidence of a more broad-based, sustainable demand base less exposed to Gulf-remittance volatility.</w:t>
      </w:r>
    </w:p>
    <w:p>
      <w:pPr>
        <w:pStyle w:val="ListParagraph"/>
        <w:numPr>
          <w:ilvl w:val="0"/>
          <w:numId w:val="2"/>
        </w:numPr>
        <w:spacing w:after="80"/>
      </w:pPr>
      <w:r>
        <w:rPr>
          <w:b w:val="false"/>
          <w:bCs w:val="false"/>
        </w:rPr>
        <w:t xml:space="preserve">Continued strong NRI remittance and deposit flows are expected to keep CREDAI Kerala focused on NRI-friendly registration and documentation processes heading into the festive season.</w:t>
      </w:r>
    </w:p>
    <w:p>
      <w:pPr>
        <w:pStyle w:val="ListParagraph"/>
        <w:numPr>
          <w:ilvl w:val="0"/>
          <w:numId w:val="2"/>
        </w:numPr>
        <w:spacing w:after="80"/>
      </w:pPr>
      <w:r>
        <w:rPr>
          <w:b w:val="false"/>
          <w:bCs w:val="false"/>
        </w:rPr>
        <w:t xml:space="preserve">CREDAI Kerala members are likely monitoring how the RBI's fresh rate hike affects Gulf NRI investment appetite, given the segment's sensitivity to financing-cost and currency conditions.</w:t>
      </w:r>
    </w:p>
    <w:p>
      <w:pPr>
        <w:spacing w:after="150"/>
      </w:pPr>
      <w:r>
        <w:rPr>
          <w:i/>
          <w:iCs/>
          <w:color w:val="595959"/>
          <w:sz w:val="18"/>
          <w:szCs w:val="18"/>
        </w:rPr>
        <w:t xml:space="preserve">Sources: Thithithara; BookPropertyVisit.</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CREDAI's national president Shekhar Patel said the RBI's 25bps repo rate hike to 5.50% could affect festive-season sales, though the underlying structural need for housing remains strong.</w:t>
      </w:r>
    </w:p>
    <w:p>
      <w:pPr>
        <w:pStyle w:val="ListParagraph"/>
        <w:numPr>
          <w:ilvl w:val="0"/>
          <w:numId w:val="2"/>
        </w:numPr>
        <w:spacing w:after="80"/>
      </w:pPr>
      <w:r>
        <w:rPr>
          <w:b w:val="false"/>
          <w:bCs w:val="false"/>
        </w:rPr>
        <w:t xml:space="preserve">CREDAI West Bengal's president warned of a possible adverse short-to-medium-term impact from the hike, with affordable and mid-income buyers seen as particularly sensitive to the change.</w:t>
      </w:r>
    </w:p>
    <w:p>
      <w:pPr>
        <w:pStyle w:val="ListParagraph"/>
        <w:numPr>
          <w:ilvl w:val="0"/>
          <w:numId w:val="2"/>
        </w:numPr>
        <w:spacing w:after="80"/>
      </w:pPr>
      <w:r>
        <w:rPr>
          <w:b w:val="false"/>
          <w:bCs w:val="false"/>
        </w:rPr>
        <w:t xml:space="preserve">Analysts expect the EMI impact to vary by lender, with borrowers potentially facing higher monthly payments, longer loan tenures, or a combination of both depending on how banks pass on the increase.</w:t>
      </w:r>
    </w:p>
    <w:p>
      <w:pPr>
        <w:spacing w:after="150"/>
      </w:pPr>
      <w:r>
        <w:rPr>
          <w:i/>
          <w:iCs/>
          <w:color w:val="595959"/>
          <w:sz w:val="18"/>
          <w:szCs w:val="18"/>
        </w:rPr>
        <w:t xml:space="preserve">Sources: BusinessToday (CREDAI national reaction, festive-season impact); Millennium Post (CREDAI West Bengal reaction, EMI analyst views).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rescheduled 57th GST Council meeting was held on 8 October 2026 at Bharat Mandapam, New Delhi, with proposals on input tax credit (ITC) rationalisation for real estate, construction, hospitality and tourism sectors on the agenda.</w:t>
      </w:r>
    </w:p>
    <w:p>
      <w:pPr>
        <w:pStyle w:val="ListParagraph"/>
        <w:numPr>
          <w:ilvl w:val="0"/>
          <w:numId w:val="2"/>
        </w:numPr>
        <w:spacing w:after="80"/>
      </w:pPr>
      <w:r>
        <w:rPr>
          <w:b w:val="false"/>
          <w:bCs w:val="false"/>
        </w:rPr>
        <w:t xml:space="preserve">One proposal under discussion would allow ITC on pipelines laid outside factory premises, reversing their current treatment as immovable property ineligible for input tax credit.</w:t>
      </w:r>
    </w:p>
    <w:p>
      <w:pPr>
        <w:pStyle w:val="ListParagraph"/>
        <w:numPr>
          <w:ilvl w:val="0"/>
          <w:numId w:val="2"/>
        </w:numPr>
        <w:spacing w:after="80"/>
      </w:pPr>
      <w:r>
        <w:rPr>
          <w:b w:val="false"/>
          <w:bCs w:val="false"/>
        </w:rPr>
        <w:t xml:space="preserve">A separate proposal could let contracted prices stand for transactions between government companies rather than defaulting to notional valuations, offering greater pricing certainty for public housing and infrastructure contracts.</w:t>
      </w:r>
    </w:p>
    <w:p>
      <w:pPr>
        <w:spacing w:after="150"/>
      </w:pPr>
      <w:r>
        <w:rPr>
          <w:i/>
          <w:iCs/>
          <w:color w:val="595959"/>
          <w:sz w:val="18"/>
          <w:szCs w:val="18"/>
        </w:rPr>
        <w:t xml:space="preserve">Sources: Taxguru (57th GST Council meeting reschedule); Business Standard (ITC rationalisation proposals for real estate/construction).</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closely track the 57th GST Council's real estate ITC rationalisation proposals, given their potential to ease tax costs across construction and infrastructure projects nationally.</w:t>
      </w:r>
    </w:p>
    <w:p>
      <w:pPr>
        <w:pStyle w:val="ListParagraph"/>
        <w:numPr>
          <w:ilvl w:val="0"/>
          <w:numId w:val="2"/>
        </w:numPr>
        <w:spacing w:after="80"/>
      </w:pPr>
      <w:r>
        <w:rPr>
          <w:b w:val="false"/>
          <w:bCs w:val="false"/>
        </w:rPr>
        <w:t xml:space="preserve">Realtors broadly expect housing demand to remain resilient despite the RBI's rate hike, even as borrowing costs rise modestly for both developers and homebuyers.</w:t>
      </w:r>
    </w:p>
    <w:p>
      <w:pPr>
        <w:pStyle w:val="ListParagraph"/>
        <w:numPr>
          <w:ilvl w:val="0"/>
          <w:numId w:val="2"/>
        </w:numPr>
        <w:spacing w:after="80"/>
      </w:pPr>
      <w:r>
        <w:rPr>
          <w:b w:val="false"/>
          <w:bCs w:val="false"/>
        </w:rPr>
        <w:t xml:space="preserve">The combination of a fresh RBI tightening cycle and pending GST Council decisions on real estate ITC is expected to keep CREDAI and NAREDCO's national advocacy agenda focused on balancing monetary and tax policy support for the sector through the festive season.</w:t>
      </w:r>
    </w:p>
    <w:p>
      <w:pPr>
        <w:spacing w:after="150"/>
      </w:pPr>
      <w:r>
        <w:rPr>
          <w:i/>
          <w:iCs/>
          <w:color w:val="595959"/>
          <w:sz w:val="18"/>
          <w:szCs w:val="18"/>
        </w:rPr>
        <w:t xml:space="preserve">Sources: Business Standard; BusinessToday; Taxguru.</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2026-10-09T03:38:12.806Z</dcterms:created>
  <dcterms:modified xsi:type="dcterms:W3CDTF">2026-10-09T03:38:12.816Z</dcterms:modified>
</cp:coreProperties>
</file>

<file path=docProps/custom.xml><?xml version="1.0" encoding="utf-8"?>
<Properties xmlns="http://schemas.openxmlformats.org/officeDocument/2006/custom-properties" xmlns:vt="http://schemas.openxmlformats.org/officeDocument/2006/docPropsVTypes"/>
</file>