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22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Yeshwantpur Railway Station's ₹380-crore redevelopment is nearing completion, with the eastern-side concourse and platforms almost ready for public use while western-side works and metro-link integration continue through 2026.</w:t>
      </w:r>
    </w:p>
    <w:p>
      <w:pPr>
        <w:pStyle w:val="ListParagraph"/>
        <w:numPr>
          <w:ilvl w:val="0"/>
          <w:numId w:val="2"/>
        </w:numPr>
        <w:spacing w:after="80"/>
      </w:pPr>
      <w:r>
        <w:rPr>
          <w:b w:val="false"/>
          <w:bCs w:val="false"/>
        </w:rPr>
        <w:t xml:space="preserve">Rajajinagar apartment pricing in 2026 ranges ₹12,500-26,000 per sq ft, with values underpinned by proximity to Malleswaram, Yeshwanthpur and the World Trade Centre/ORION Mall commercial belt.</w:t>
      </w:r>
    </w:p>
    <w:p>
      <w:pPr>
        <w:pStyle w:val="ListParagraph"/>
        <w:numPr>
          <w:ilvl w:val="0"/>
          <w:numId w:val="2"/>
        </w:numPr>
        <w:spacing w:after="80"/>
      </w:pPr>
      <w:r>
        <w:rPr>
          <w:b w:val="false"/>
          <w:bCs w:val="false"/>
        </w:rPr>
        <w:t xml:space="preserve">Godrej's Yeshwanthpur project — offering a clubhouse, landscaped gardens, gymnasium, swimming pool and round-the-clock security — is drawing steady interest as the corridor's railway and metro upgrades progress in parallel.</w:t>
      </w:r>
    </w:p>
    <w:p>
      <w:pPr>
        <w:spacing w:after="150"/>
      </w:pPr>
      <w:r>
        <w:rPr>
          <w:i/>
          <w:iCs/>
          <w:color w:val="595959"/>
          <w:sz w:val="18"/>
          <w:szCs w:val="18"/>
        </w:rPr>
        <w:t xml:space="preserve">Sources: RailNews/Deccan Herald (Yeshwantpur Railway Station redevelopment progress); NoBroker/99acres (Rajajinagar 2026 pricing); Godrej Properties (Yeshwanthpur project amenities).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Beyond Yeshwantpur, Bengaluru's railway modernisation programme is simultaneously upgrading Malleshwaram, Cantonment, Whitefield and Kengeri stations, reinforcing multi-corridor connectivity gains across the city.</w:t>
      </w:r>
    </w:p>
    <w:p>
      <w:pPr>
        <w:pStyle w:val="ListParagraph"/>
        <w:numPr>
          <w:ilvl w:val="0"/>
          <w:numId w:val="2"/>
        </w:numPr>
        <w:spacing w:after="80"/>
      </w:pPr>
      <w:r>
        <w:rPr>
          <w:b w:val="false"/>
          <w:bCs w:val="false"/>
        </w:rPr>
        <w:t xml:space="preserve">Yeshwanthpur's strategic location near Peenya Industrial Area, ORION Mall and the World Trade Centre continues to anchor sustained warehousing, retail and office-support demand along the Tumkur Road belt.</w:t>
      </w:r>
    </w:p>
    <w:p>
      <w:pPr>
        <w:pStyle w:val="ListParagraph"/>
        <w:numPr>
          <w:ilvl w:val="0"/>
          <w:numId w:val="2"/>
        </w:numPr>
        <w:spacing w:after="80"/>
      </w:pPr>
      <w:r>
        <w:rPr>
          <w:b w:val="false"/>
          <w:bCs w:val="false"/>
        </w:rPr>
        <w:t xml:space="preserve">The Asian Highway 47 and Tumkur Road corridor links Malleshwaram, Hennur, Shivajinagar, Rajajinagar, Jalahalli and Hebbal, giving the Yeshwantpur-Rajajinagar belt a rare combination of rail, road and industrial-park access.</w:t>
      </w:r>
    </w:p>
    <w:p>
      <w:pPr>
        <w:spacing w:after="150"/>
      </w:pPr>
      <w:r>
        <w:rPr>
          <w:i/>
          <w:iCs/>
          <w:color w:val="595959"/>
          <w:sz w:val="18"/>
          <w:szCs w:val="18"/>
        </w:rPr>
        <w:t xml:space="preserve">Sources: RailNews/Deccan Herald; NoBroker/99acres (Peenya Industrial Area, connectivity corridor).</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of the Yeshwantpur redevelopment zone and adjoining Godrej and other Rajajinagar-corridor launches remains a priority as railway and metro-link works progress simultaneously.</w:t>
      </w:r>
    </w:p>
    <w:p>
      <w:pPr>
        <w:pStyle w:val="ListParagraph"/>
        <w:numPr>
          <w:ilvl w:val="0"/>
          <w:numId w:val="2"/>
        </w:numPr>
        <w:spacing w:after="80"/>
      </w:pPr>
      <w:r>
        <w:rPr>
          <w:b w:val="false"/>
          <w:bCs w:val="false"/>
        </w:rPr>
        <w:t xml:space="preserve">CREDAI Karnataka continues to track Rajajinagar's wide ₹12,500-26,000 per sq ft pricing band as evidence of the corridor's premiumisation alongside its ongoing infrastructure upgrades.</w:t>
      </w:r>
    </w:p>
    <w:p>
      <w:pPr>
        <w:pStyle w:val="ListParagraph"/>
        <w:numPr>
          <w:ilvl w:val="0"/>
          <w:numId w:val="2"/>
        </w:numPr>
        <w:spacing w:after="80"/>
      </w:pPr>
      <w:r>
        <w:rPr>
          <w:b w:val="false"/>
          <w:bCs w:val="false"/>
        </w:rPr>
        <w:t xml:space="preserve">The parallel upgrade of five Bengaluru railway stations (Yeshwanthpur, Malleshwaram, Cantonment, Whitefield, Kengeri) gives K-RERA and CREDAI Karnataka a useful multi-corridor benchmark for infrastructure-linked project approvals.</w:t>
      </w:r>
    </w:p>
    <w:p>
      <w:pPr>
        <w:spacing w:after="150"/>
      </w:pPr>
      <w:r>
        <w:rPr>
          <w:i/>
          <w:iCs/>
          <w:color w:val="595959"/>
          <w:sz w:val="18"/>
          <w:szCs w:val="18"/>
        </w:rPr>
        <w:t xml:space="preserve">Sources: RailNews/Deccan Herald; NoBroker/99acres.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Navalur and Siruseri along Chennai's OMR corridor are emerging as fast-growing residential hubs, with brokers citing among the highest rental yields in the city as IT and GCC employment continues to anchor demand.</w:t>
      </w:r>
    </w:p>
    <w:p>
      <w:pPr>
        <w:pStyle w:val="ListParagraph"/>
        <w:numPr>
          <w:ilvl w:val="0"/>
          <w:numId w:val="2"/>
        </w:numPr>
        <w:spacing w:after="80"/>
      </w:pPr>
      <w:r>
        <w:rPr>
          <w:b w:val="false"/>
          <w:bCs w:val="false"/>
        </w:rPr>
        <w:t xml:space="preserve">Tamil Nadu's new resettlement policy for slum dwellers is reshaping land availability and redevelopment potential in select Chennai neighbourhoods, opening fresh sites for future housing supply.</w:t>
      </w:r>
    </w:p>
    <w:p>
      <w:pPr>
        <w:pStyle w:val="ListParagraph"/>
        <w:numPr>
          <w:ilvl w:val="0"/>
          <w:numId w:val="2"/>
        </w:numPr>
        <w:spacing w:after="80"/>
      </w:pPr>
      <w:r>
        <w:rPr>
          <w:b w:val="false"/>
          <w:bCs w:val="false"/>
        </w:rPr>
        <w:t xml:space="preserve">Chennai's residential market is entering a strong growth phase through 2025-26, with infrastructure upgrades — port expansion, ring-road development and metro extensions — cited as the key demand catalysts.</w:t>
      </w:r>
    </w:p>
    <w:p>
      <w:pPr>
        <w:spacing w:after="150"/>
      </w:pPr>
      <w:r>
        <w:rPr>
          <w:i/>
          <w:iCs/>
          <w:color w:val="595959"/>
          <w:sz w:val="18"/>
          <w:szCs w:val="18"/>
        </w:rPr>
        <w:t xml:space="preserve">Sources: Times of India/Nahars (Navalur-Siruseri rental yields); The Hindu (Tamil Nadu slum-resettlement policy); PropTiger/Magicbricks (Chennai 2025-26 growth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Port is expanding capacity with a mega container terminal as cargo volumes cross 50 million tonnes, a scale-up expected to spur fresh industrial and logistics real estate demand along the port-adjacent corridor.</w:t>
      </w:r>
    </w:p>
    <w:p>
      <w:pPr>
        <w:pStyle w:val="ListParagraph"/>
        <w:numPr>
          <w:ilvl w:val="0"/>
          <w:numId w:val="2"/>
        </w:numPr>
        <w:spacing w:after="80"/>
      </w:pPr>
      <w:r>
        <w:rPr>
          <w:b w:val="false"/>
          <w:bCs w:val="false"/>
        </w:rPr>
        <w:t xml:space="preserve">The Chennai Outer Ring Road (CORR) — the 62 km Vandalur-to-Minjur stretch operational since February 2021 — is being reimagined by the CMDA in 2026 as a dynamic economic zone unlocking new real estate, logistics, IT and industrial opportunities.</w:t>
      </w:r>
    </w:p>
    <w:p>
      <w:pPr>
        <w:pStyle w:val="ListParagraph"/>
        <w:numPr>
          <w:ilvl w:val="0"/>
          <w:numId w:val="2"/>
        </w:numPr>
        <w:spacing w:after="80"/>
      </w:pPr>
      <w:r>
        <w:rPr>
          <w:b w:val="false"/>
          <w:bCs w:val="false"/>
        </w:rPr>
        <w:t xml:space="preserve">The Chennai Peripheral Ring Road's Section 5 tender was floated in December 2025, with construction mobilisation expected during 2026 and completion projected for 2027, adding a further multi-year infrastructure catalyst distinct from CORR.</w:t>
      </w:r>
    </w:p>
    <w:p>
      <w:pPr>
        <w:spacing w:after="150"/>
      </w:pPr>
      <w:r>
        <w:rPr>
          <w:i/>
          <w:iCs/>
          <w:color w:val="595959"/>
          <w:sz w:val="18"/>
          <w:szCs w:val="18"/>
        </w:rPr>
        <w:t xml:space="preserve">Sources: Maritime Gateway/The Hindu (Chennai Port expansion); CMDA (CORR 2026 economic-zone reimagining); Construction World (CPRR Section 5 tender).</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Tamil Nadu is likely to track Navalur and Siruseri's rising rental yields alongside CORR's 2026 economic-zone reimagining as complementary growth signals for OMR-adjacent project registrations.</w:t>
      </w:r>
    </w:p>
    <w:p>
      <w:pPr>
        <w:pStyle w:val="ListParagraph"/>
        <w:numPr>
          <w:ilvl w:val="0"/>
          <w:numId w:val="2"/>
        </w:numPr>
        <w:spacing w:after="80"/>
      </w:pPr>
      <w:r>
        <w:rPr>
          <w:b w:val="false"/>
          <w:bCs w:val="false"/>
        </w:rPr>
        <w:t xml:space="preserve">Tamil Nadu's new slum-resettlement policy will require close RERA and CREDAI coordination as newly freed sites move through redevelopment and registration pipelines.</w:t>
      </w:r>
    </w:p>
    <w:p>
      <w:pPr>
        <w:pStyle w:val="ListParagraph"/>
        <w:numPr>
          <w:ilvl w:val="0"/>
          <w:numId w:val="2"/>
        </w:numPr>
        <w:spacing w:after="80"/>
      </w:pPr>
      <w:r>
        <w:rPr>
          <w:b w:val="false"/>
          <w:bCs w:val="false"/>
        </w:rPr>
        <w:t xml:space="preserve">The CPRR Section 5 tender and Chennai Port's capacity expansion together reinforce Tamil Nadu's multi-year infrastructure pipeline, a key reference point for CREDAI Tamil Nadu's registration-growth planning.</w:t>
      </w:r>
    </w:p>
    <w:p>
      <w:pPr>
        <w:spacing w:after="150"/>
      </w:pPr>
      <w:r>
        <w:rPr>
          <w:i/>
          <w:iCs/>
          <w:color w:val="595959"/>
          <w:sz w:val="18"/>
          <w:szCs w:val="18"/>
        </w:rPr>
        <w:t xml:space="preserve">Sources: The Hindu; CMDA; Construction World.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industrial and warehousing sector's Grade-A stock grew 20% YoY to 293 million sq ft, now accounting for 57% of total national inventory, as institutional-grade supply continues to displace older, unorganised stock.</w:t>
      </w:r>
    </w:p>
    <w:p>
      <w:pPr>
        <w:pStyle w:val="ListParagraph"/>
        <w:numPr>
          <w:ilvl w:val="0"/>
          <w:numId w:val="2"/>
        </w:numPr>
        <w:spacing w:after="80"/>
      </w:pPr>
      <w:r>
        <w:rPr>
          <w:b w:val="false"/>
          <w:bCs w:val="false"/>
        </w:rPr>
        <w:t xml:space="preserve">Annual warehousing absorption is projected to exceed 45 million sq ft by end-2026, with large-format transactions above 200,000 sq ft forming roughly 45% of total absorption nationally.</w:t>
      </w:r>
    </w:p>
    <w:p>
      <w:pPr>
        <w:pStyle w:val="ListParagraph"/>
        <w:numPr>
          <w:ilvl w:val="0"/>
          <w:numId w:val="2"/>
        </w:numPr>
        <w:spacing w:after="80"/>
      </w:pPr>
      <w:r>
        <w:rPr>
          <w:b w:val="false"/>
          <w:bCs w:val="false"/>
        </w:rPr>
        <w:t xml:space="preserve">82% of industry respondents in a recent sector survey cited location — economic corridors (49%) and urban consumption centres (33%) — as the single most critical driver of premium warehousing valuations today.</w:t>
      </w:r>
    </w:p>
    <w:p>
      <w:pPr>
        <w:spacing w:after="150"/>
      </w:pPr>
      <w:r>
        <w:rPr>
          <w:i/>
          <w:iCs/>
          <w:color w:val="595959"/>
          <w:sz w:val="18"/>
          <w:szCs w:val="18"/>
        </w:rPr>
        <w:t xml:space="preserve">Sources: CBRE/Knight Frank industry survey (Grade-A warehousing stock growth, absorption forecast); Cushman &amp; Wakefield (location-driver survey findings).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ESG compliance has become a baseline requirement rather than a differentiator for institutional-grade logistics real estate, with 56% of institutional players planning to increase warehouse investment over the next 12-18 months.</w:t>
      </w:r>
    </w:p>
    <w:p>
      <w:pPr>
        <w:pStyle w:val="ListParagraph"/>
        <w:numPr>
          <w:ilvl w:val="0"/>
          <w:numId w:val="2"/>
        </w:numPr>
        <w:spacing w:after="80"/>
      </w:pPr>
      <w:r>
        <w:rPr>
          <w:b w:val="false"/>
          <w:bCs w:val="false"/>
        </w:rPr>
        <w:t xml:space="preserve">Rental yields in India's top warehousing corridors currently range 8-12% gross annually, with escalation clauses of 5-8% built into most institutional lease structures.</w:t>
      </w:r>
    </w:p>
    <w:p>
      <w:pPr>
        <w:pStyle w:val="ListParagraph"/>
        <w:numPr>
          <w:ilvl w:val="0"/>
          <w:numId w:val="2"/>
        </w:numPr>
        <w:spacing w:after="80"/>
      </w:pPr>
      <w:r>
        <w:rPr>
          <w:b w:val="false"/>
          <w:bCs w:val="false"/>
        </w:rPr>
        <w:t xml:space="preserve">V.O. Chidambaranar Port in Thoothukudi recorded its highest-ever single-day cargo handling of 2,17,332 tonnes on 5 September 2026, underscoring continued momentum in India's port-linked logistics and industrial real estate demand.</w:t>
      </w:r>
    </w:p>
    <w:p>
      <w:pPr>
        <w:spacing w:after="150"/>
      </w:pPr>
      <w:r>
        <w:rPr>
          <w:i/>
          <w:iCs/>
          <w:color w:val="595959"/>
          <w:sz w:val="18"/>
          <w:szCs w:val="18"/>
        </w:rPr>
        <w:t xml:space="preserve">Sources: Cushman &amp; Wakefield (ESG baseline, institutional investment intent, rental yields); The Hindu Business Line (V.O. Chidambaranar Port record cargo handling).</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20% YoY jump in Grade-A warehousing stock and rising institutional investment intent are expected to be welcomed by CREDAI and NAREDCO as evidence of continued capital-market confidence in India's logistics real estate segment.</w:t>
      </w:r>
    </w:p>
    <w:p>
      <w:pPr>
        <w:pStyle w:val="ListParagraph"/>
        <w:numPr>
          <w:ilvl w:val="0"/>
          <w:numId w:val="2"/>
        </w:numPr>
        <w:spacing w:after="80"/>
      </w:pPr>
      <w:r>
        <w:rPr>
          <w:b w:val="false"/>
          <w:bCs w:val="false"/>
        </w:rPr>
        <w:t xml:space="preserve">ESG compliance becoming a baseline institutional requirement is likely to prompt CREDAI's industrial and warehousing members to accelerate green-certification adoption across new project registrations nationally.</w:t>
      </w:r>
    </w:p>
    <w:p>
      <w:pPr>
        <w:pStyle w:val="ListParagraph"/>
        <w:numPr>
          <w:ilvl w:val="0"/>
          <w:numId w:val="2"/>
        </w:numPr>
        <w:spacing w:after="80"/>
      </w:pPr>
      <w:r>
        <w:rPr>
          <w:b w:val="false"/>
          <w:bCs w:val="false"/>
        </w:rPr>
        <w:t xml:space="preserve">V.O. Chidambaranar Port's record cargo day, alongside Chennai Port's ongoing expansion, reinforces how India's port-linked logistics corridors continue to shape national industrial real estate registration and investment planning.</w:t>
      </w:r>
    </w:p>
    <w:p>
      <w:pPr>
        <w:spacing w:after="150"/>
      </w:pPr>
      <w:r>
        <w:rPr>
          <w:i/>
          <w:iCs/>
          <w:color w:val="595959"/>
          <w:sz w:val="18"/>
          <w:szCs w:val="18"/>
        </w:rPr>
        <w:t xml:space="preserve">Sources: Cushman &amp; Wakefield; CBRE/Knight Frank; The Hindu Business Line.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2026-09-22T03:41:08.249Z</dcterms:created>
  <dcterms:modified xsi:type="dcterms:W3CDTF">2026-09-22T03:41:08.259Z</dcterms:modified>
</cp:coreProperties>
</file>

<file path=docProps/custom.xml><?xml version="1.0" encoding="utf-8"?>
<Properties xmlns="http://schemas.openxmlformats.org/officeDocument/2006/custom-properties" xmlns:vt="http://schemas.openxmlformats.org/officeDocument/2006/docPropsVTypes"/>
</file>