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26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recorded 12,544 residential launches in Q2 2026, a moderate 4% YoY rise, with the South submarket leading at a 38% share (Electronic City, Bannerghatta Road, Kanakapura Road).</w:t>
      </w:r>
    </w:p>
    <w:p>
      <w:pPr>
        <w:pStyle w:val="ListParagraph"/>
        <w:numPr>
          <w:ilvl w:val="0"/>
          <w:numId w:val="2"/>
        </w:numPr>
        <w:spacing w:after="80"/>
      </w:pPr>
      <w:r>
        <w:rPr>
          <w:b w:val="false"/>
          <w:bCs w:val="false"/>
        </w:rPr>
        <w:t xml:space="preserve">JLL's residential outlook projects a 10–12% rise in Bengaluru property prices in 2026, driven by sustained demand, infrastructure expansion and limited supply in key micro-markets.</w:t>
      </w:r>
    </w:p>
    <w:p>
      <w:pPr>
        <w:pStyle w:val="ListParagraph"/>
        <w:numPr>
          <w:ilvl w:val="0"/>
          <w:numId w:val="2"/>
        </w:numPr>
        <w:spacing w:after="80"/>
      </w:pPr>
      <w:r>
        <w:rPr>
          <w:b w:val="false"/>
          <w:bCs w:val="false"/>
        </w:rPr>
        <w:t xml:space="preserve">Century Real Estate's CEO has described the July–September quarter as a "defining quarter" of record-breaking sales, citing rising NRI inflows, infrastructure-led corridor growth and the premiumisation of residential demand as key drivers.</w:t>
      </w:r>
    </w:p>
    <w:p>
      <w:pPr>
        <w:pStyle w:val="ListParagraph"/>
        <w:numPr>
          <w:ilvl w:val="0"/>
          <w:numId w:val="2"/>
        </w:numPr>
        <w:spacing w:after="80"/>
      </w:pPr>
      <w:r>
        <w:rPr>
          <w:b w:val="false"/>
          <w:bCs w:val="false"/>
        </w:rPr>
        <w:t xml:space="preserve">Bengaluru's guidance values rose 6–15% in early 2026, with a further hike proposed for April 2026, while Karnataka doubled its property registration fee from 1% to 2% effective 31 August 2025 — both adding to overall transaction costs for buyers.</w:t>
      </w:r>
    </w:p>
    <w:p>
      <w:pPr>
        <w:spacing w:after="150"/>
      </w:pPr>
      <w:r>
        <w:rPr>
          <w:i/>
          <w:iCs/>
          <w:color w:val="595959"/>
          <w:sz w:val="18"/>
          <w:szCs w:val="18"/>
        </w:rPr>
        <w:t xml:space="preserve">Sources: Cushman &amp; Wakefield Bengaluru MarketBeat; Proppy.ai/JLL; Deccan Herald; NoBroker Times.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continued to lead India's commercial property market in H1 2026, with companies leasing 14.1 million sq ft.</w:t>
      </w:r>
    </w:p>
    <w:p>
      <w:pPr>
        <w:pStyle w:val="ListParagraph"/>
        <w:numPr>
          <w:ilvl w:val="0"/>
          <w:numId w:val="2"/>
        </w:numPr>
        <w:spacing w:after="80"/>
      </w:pPr>
      <w:r>
        <w:rPr>
          <w:b w:val="false"/>
          <w:bCs w:val="false"/>
        </w:rPr>
        <w:t xml:space="preserve">CREDAI Bengaluru has formally asked the Karnataka government to reconsider Floor Area Ratio (FAR) limits proposed under the draft Uniform Zonal Regulations, arguing the caps don't align with the city's growing population and housing demand.</w:t>
      </w:r>
    </w:p>
    <w:p>
      <w:pPr>
        <w:pStyle w:val="ListParagraph"/>
        <w:numPr>
          <w:ilvl w:val="0"/>
          <w:numId w:val="2"/>
        </w:numPr>
        <w:spacing w:after="80"/>
      </w:pPr>
      <w:r>
        <w:rPr>
          <w:b w:val="false"/>
          <w:bCs w:val="false"/>
        </w:rPr>
        <w:t xml:space="preserve">Realtors continue to lobby for easier vertical development in Bengaluru, as the city looks to increase housing supply within a constrained land footprint.</w:t>
      </w:r>
    </w:p>
    <w:p>
      <w:pPr>
        <w:spacing w:after="150"/>
      </w:pPr>
      <w:r>
        <w:rPr>
          <w:i/>
          <w:iCs/>
          <w:color w:val="595959"/>
          <w:sz w:val="18"/>
          <w:szCs w:val="18"/>
        </w:rPr>
        <w:t xml:space="preserve">Sources: NoBroker Times; PropNewsTime; Deccan Herald.</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has sought faster project approvals from the state government to reduce development delays, citing bureaucratic bottlenecks as a key drag on new housing supply.</w:t>
      </w:r>
    </w:p>
    <w:p>
      <w:pPr>
        <w:pStyle w:val="ListParagraph"/>
        <w:numPr>
          <w:ilvl w:val="0"/>
          <w:numId w:val="2"/>
        </w:numPr>
        <w:spacing w:after="80"/>
      </w:pPr>
      <w:r>
        <w:rPr>
          <w:b w:val="false"/>
          <w:bCs w:val="false"/>
        </w:rPr>
        <w:t xml:space="preserve">The FAR policy debate is unfolding as a live regulatory flashpoint, with CREDAI Bengaluru pushing back against the draft Uniform Zonal Regulations' proposed density caps.</w:t>
      </w:r>
    </w:p>
    <w:p>
      <w:pPr>
        <w:pStyle w:val="ListParagraph"/>
        <w:numPr>
          <w:ilvl w:val="0"/>
          <w:numId w:val="2"/>
        </w:numPr>
        <w:spacing w:after="80"/>
      </w:pPr>
      <w:r>
        <w:rPr>
          <w:b w:val="false"/>
          <w:bCs w:val="false"/>
        </w:rPr>
        <w:t xml:space="preserve">Karnataka's Chief Minister has announced that Gruha Jyothi Scheme beneficiaries must reapply and complete verification — a reminder that state welfare-scheme administration continues to intersect with housing policy debates in the state.</w:t>
      </w:r>
    </w:p>
    <w:p>
      <w:pPr>
        <w:spacing w:after="150"/>
      </w:pPr>
      <w:r>
        <w:rPr>
          <w:i/>
          <w:iCs/>
          <w:color w:val="595959"/>
          <w:sz w:val="18"/>
          <w:szCs w:val="18"/>
        </w:rPr>
        <w:t xml:space="preserve">Sources: PropNewsTime; blog.bangaloreproperties.com; NoBroker Times.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 is increasingly positioned as an affordable real estate hotspot compared to Hyderabad and Bengaluru, with lower entry prices and stable, value-driven appreciation across its suburban markets; prices are forecast to grow 7–9% in 2025-26.</w:t>
      </w:r>
    </w:p>
    <w:p>
      <w:pPr>
        <w:pStyle w:val="ListParagraph"/>
        <w:numPr>
          <w:ilvl w:val="0"/>
          <w:numId w:val="2"/>
        </w:numPr>
        <w:spacing w:after="80"/>
      </w:pPr>
      <w:r>
        <w:rPr>
          <w:b w:val="false"/>
          <w:bCs w:val="false"/>
        </w:rPr>
        <w:t xml:space="preserve">Chennai's housing sales more than doubled to 7,862 units in the July–September period, up from 3,560 units a year earlier.</w:t>
      </w:r>
    </w:p>
    <w:p>
      <w:pPr>
        <w:pStyle w:val="ListParagraph"/>
        <w:numPr>
          <w:ilvl w:val="0"/>
          <w:numId w:val="2"/>
        </w:numPr>
        <w:spacing w:after="80"/>
      </w:pPr>
      <w:r>
        <w:rPr>
          <w:b w:val="false"/>
          <w:bCs w:val="false"/>
        </w:rPr>
        <w:t xml:space="preserve">Hyderabad's residential sales grew 53% to 17,658 units in the July–September period (from 11,564 units a year earlier), even as office-space demand has outpaced the pace of residential uptake in the city.</w:t>
      </w:r>
    </w:p>
    <w:p>
      <w:pPr>
        <w:spacing w:after="150"/>
      </w:pPr>
      <w:r>
        <w:rPr>
          <w:i/>
          <w:iCs/>
          <w:color w:val="595959"/>
          <w:sz w:val="18"/>
          <w:szCs w:val="18"/>
        </w:rPr>
        <w:t xml:space="preserve">Sources: Tradebrains; Business Standard/PropTiger.</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 recorded 3.1 million sq ft of warehouse leasing in H2 2025 — a strong 50% increase over H1 — led by robust 3PL demand, with Periyapalayam and Sriperumbudur together contributing nearly 70% of activity.</w:t>
      </w:r>
    </w:p>
    <w:p>
      <w:pPr>
        <w:pStyle w:val="ListParagraph"/>
        <w:numPr>
          <w:ilvl w:val="0"/>
          <w:numId w:val="2"/>
        </w:numPr>
        <w:spacing w:after="80"/>
      </w:pPr>
      <w:r>
        <w:rPr>
          <w:b w:val="false"/>
          <w:bCs w:val="false"/>
        </w:rPr>
        <w:t xml:space="preserve">JLL's South India Real Estate Outlook 2026 projects stable activity across residential, office and industrial segments through the year, with prices unlikely to fall given high land costs even as sales and leasing momentum holds.</w:t>
      </w:r>
    </w:p>
    <w:p>
      <w:pPr>
        <w:pStyle w:val="ListParagraph"/>
        <w:numPr>
          <w:ilvl w:val="0"/>
          <w:numId w:val="2"/>
        </w:numPr>
        <w:spacing w:after="80"/>
      </w:pPr>
      <w:r>
        <w:rPr>
          <w:b w:val="false"/>
          <w:bCs w:val="false"/>
        </w:rPr>
        <w:t xml:space="preserve">Hyderabad's stronger office-space demand relative to residential uptake underscores the city's continuing pull for GCC and IT-led commercial expansion even amid more measured housing demand.</w:t>
      </w:r>
    </w:p>
    <w:p>
      <w:pPr>
        <w:spacing w:after="150"/>
      </w:pPr>
      <w:r>
        <w:rPr>
          <w:i/>
          <w:iCs/>
          <w:color w:val="595959"/>
          <w:sz w:val="18"/>
          <w:szCs w:val="18"/>
        </w:rPr>
        <w:t xml:space="preserve">Sources: Tradebrains; JLL South India Real Estate Outlook 2026; Business Standard.</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Hyderabad has officially announced its Property Show 2026 for 28–30 August at HITEX, featuring 100+ RERA-approved projects, under the theme "Rate Aagadhu – Demand Thaggadhu" ("Prices won't fall, demand won't drop") — signalling continued confidence in the city's real estate ecosystem.</w:t>
      </w:r>
    </w:p>
    <w:p>
      <w:pPr>
        <w:pStyle w:val="ListParagraph"/>
        <w:numPr>
          <w:ilvl w:val="0"/>
          <w:numId w:val="2"/>
        </w:numPr>
        <w:spacing w:after="80"/>
      </w:pPr>
      <w:r>
        <w:rPr>
          <w:b w:val="false"/>
          <w:bCs w:val="false"/>
        </w:rPr>
        <w:t xml:space="preserve">The show is being led by CREDAI Hyderabad President N Jaideep Reddy and President-Elect B Jagannath Rao, reinforcing the chapter's active public engagement calendar.</w:t>
      </w:r>
    </w:p>
    <w:p>
      <w:pPr>
        <w:pStyle w:val="ListParagraph"/>
        <w:numPr>
          <w:ilvl w:val="0"/>
          <w:numId w:val="2"/>
        </w:numPr>
        <w:spacing w:after="80"/>
      </w:pPr>
      <w:r>
        <w:rPr>
          <w:b w:val="false"/>
          <w:bCs w:val="false"/>
        </w:rPr>
        <w:t xml:space="preserve">CREDAI's continued push for faster project approvals in Karnataka (see Layer 1) mirrors similar procedural-reform asks being raised by CREDAI chapters across other South Indian states.</w:t>
      </w:r>
    </w:p>
    <w:p>
      <w:pPr>
        <w:spacing w:after="150"/>
      </w:pPr>
      <w:r>
        <w:rPr>
          <w:i/>
          <w:iCs/>
          <w:color w:val="595959"/>
          <w:sz w:val="18"/>
          <w:szCs w:val="18"/>
        </w:rPr>
        <w:t xml:space="preserve">Sources: Telangana Today; Hybiz TV; PropNewsTime.</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residential prices are expected to see gradual upward movement through 2026, driven by strong demand and a decisive consumer shift toward high-ticket-size, premium homes, per CBRE's 2026 investment market outlook.</w:t>
      </w:r>
    </w:p>
    <w:p>
      <w:pPr>
        <w:pStyle w:val="ListParagraph"/>
        <w:numPr>
          <w:ilvl w:val="0"/>
          <w:numId w:val="2"/>
        </w:numPr>
        <w:spacing w:after="80"/>
      </w:pPr>
      <w:r>
        <w:rPr>
          <w:b w:val="false"/>
          <w:bCs w:val="false"/>
        </w:rPr>
        <w:t xml:space="preserve">South India's residential, office and industrial activity is expected to stay stable through 2026, per JLL, with prices unlikely to fall given high land costs even as broader national sales momentum continues.</w:t>
      </w:r>
    </w:p>
    <w:p>
      <w:pPr>
        <w:pStyle w:val="ListParagraph"/>
        <w:numPr>
          <w:ilvl w:val="0"/>
          <w:numId w:val="2"/>
        </w:numPr>
        <w:spacing w:after="80"/>
      </w:pPr>
      <w:r>
        <w:rPr>
          <w:b w:val="false"/>
          <w:bCs w:val="false"/>
        </w:rPr>
        <w:t xml:space="preserve">Chennai, Hyderabad and Bengaluru continue to anchor South India's contribution to national housing sales momentum, even as individual city trends — Chennai's affordability positioning, Hyderabad's office-residential demand gap — diverge.</w:t>
      </w:r>
    </w:p>
    <w:p>
      <w:pPr>
        <w:spacing w:after="150"/>
      </w:pPr>
      <w:r>
        <w:rPr>
          <w:i/>
          <w:iCs/>
          <w:color w:val="595959"/>
          <w:sz w:val="18"/>
          <w:szCs w:val="18"/>
        </w:rPr>
        <w:t xml:space="preserve">Sources: CBRE India Real Estate Investment Market Outlook 2026; JLL South India Real Estate Outlook 2026.</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Capital allocation nationally is pivoting toward data centres, flexible workspaces, healthcare, hospitality and living platforms, supported by improved exit visibility and strong equity-market performance, per CBRE's 2026 outlook.</w:t>
      </w:r>
    </w:p>
    <w:p>
      <w:pPr>
        <w:pStyle w:val="ListParagraph"/>
        <w:numPr>
          <w:ilvl w:val="0"/>
          <w:numId w:val="2"/>
        </w:numPr>
        <w:spacing w:after="80"/>
      </w:pPr>
      <w:r>
        <w:rPr>
          <w:b w:val="false"/>
          <w:bCs w:val="false"/>
        </w:rPr>
        <w:t xml:space="preserve">India's industrial and logistics leasing volumes are projected to exceed 50 million sq ft in 2026, driven by 3PL, e-commerce and manufacturing demand, with rentals expected to rise 5–7% across major markets on tightening vacancies.</w:t>
      </w:r>
    </w:p>
    <w:p>
      <w:pPr>
        <w:pStyle w:val="ListParagraph"/>
        <w:numPr>
          <w:ilvl w:val="0"/>
          <w:numId w:val="2"/>
        </w:numPr>
        <w:spacing w:after="80"/>
      </w:pPr>
      <w:r>
        <w:rPr>
          <w:b w:val="false"/>
          <w:bCs w:val="false"/>
        </w:rPr>
        <w:t xml:space="preserve">India's installed data-centre colocation capacity is expected to reach 1.7 GW by end-2026, supported by robust demand for AI-ready and sustainable data centres — a theme increasingly relevant to commercial land and power planning nationally.</w:t>
      </w:r>
    </w:p>
    <w:p>
      <w:pPr>
        <w:spacing w:after="150"/>
      </w:pPr>
      <w:r>
        <w:rPr>
          <w:i/>
          <w:iCs/>
          <w:color w:val="595959"/>
          <w:sz w:val="18"/>
          <w:szCs w:val="18"/>
        </w:rPr>
        <w:t xml:space="preserve">Sources: CBRE India Real Estate Investment Market Outlook 2026.</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Hyderabad's newly announced Property Show 2026 (28–30 August, HITEX) — showcasing 100+ RERA-approved projects — reflects the continued national push by CREDAI chapters to steer buyers toward RERA-compliant inventory.</w:t>
      </w:r>
    </w:p>
    <w:p>
      <w:pPr>
        <w:pStyle w:val="ListParagraph"/>
        <w:numPr>
          <w:ilvl w:val="0"/>
          <w:numId w:val="2"/>
        </w:numPr>
        <w:spacing w:after="80"/>
      </w:pPr>
      <w:r>
        <w:rPr>
          <w:b w:val="false"/>
          <w:bCs w:val="false"/>
        </w:rPr>
        <w:t xml:space="preserve">CREDAI Karnataka's call for faster project approvals to cut development delays echoes a broader national CREDAI theme of pushing state governments for procedural and regulatory efficiency.</w:t>
      </w:r>
    </w:p>
    <w:p>
      <w:pPr>
        <w:pStyle w:val="ListParagraph"/>
        <w:numPr>
          <w:ilvl w:val="0"/>
          <w:numId w:val="2"/>
        </w:numPr>
        <w:spacing w:after="80"/>
      </w:pPr>
      <w:r>
        <w:rPr>
          <w:b w:val="false"/>
          <w:bCs w:val="false"/>
        </w:rPr>
        <w:t xml:space="preserve">The ongoing FAR/zonal-regulation debate in Bengaluru is illustrative of a wider national tension between urban density policy and rising housing demand, likely to inform similar debates in other fast-growing Indian cities.</w:t>
      </w:r>
    </w:p>
    <w:p>
      <w:pPr>
        <w:spacing w:after="150"/>
      </w:pPr>
      <w:r>
        <w:rPr>
          <w:i/>
          <w:iCs/>
          <w:color w:val="595959"/>
          <w:sz w:val="18"/>
          <w:szCs w:val="18"/>
        </w:rPr>
        <w:t xml:space="preserve">Sources: Telangana Today; PropNewsTime; 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2026-07-26T03:40:43.141Z</dcterms:created>
  <dcterms:modified xsi:type="dcterms:W3CDTF">2026-07-26T03:40:43.176Z</dcterms:modified>
</cp:coreProperties>
</file>

<file path=docProps/custom.xml><?xml version="1.0" encoding="utf-8"?>
<Properties xmlns="http://schemas.openxmlformats.org/officeDocument/2006/custom-properties" xmlns:vt="http://schemas.openxmlformats.org/officeDocument/2006/docPropsVTypes"/>
</file>