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19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JP Nagar's average flat rate has reached ₹10,450 per sq ft as of mid-2026 (range ₹7,550–15,150), with the fringe areas toward the 7th Phase and Kothnur commanding a premium at ~₹12,250 per sq ft as new supply concentrates there.</w:t>
      </w:r>
    </w:p>
    <w:p>
      <w:pPr>
        <w:pStyle w:val="ListParagraph"/>
        <w:numPr>
          <w:ilvl w:val="0"/>
          <w:numId w:val="2"/>
        </w:numPr>
        <w:spacing w:after="80"/>
      </w:pPr>
      <w:r>
        <w:rPr>
          <w:b w:val="false"/>
          <w:bCs w:val="false"/>
        </w:rPr>
        <w:t xml:space="preserve">Bannerghatta Road has transformed from a quiet outer road into one of South Bengaluru's most talked-about residential and commercial corridors, with this year's new launches skewing heavily toward high-rise apartment projects.</w:t>
      </w:r>
    </w:p>
    <w:p>
      <w:pPr>
        <w:pStyle w:val="ListParagraph"/>
        <w:numPr>
          <w:ilvl w:val="0"/>
          <w:numId w:val="2"/>
        </w:numPr>
        <w:spacing w:after="80"/>
      </w:pPr>
      <w:r>
        <w:rPr>
          <w:b w:val="false"/>
          <w:bCs w:val="false"/>
        </w:rPr>
        <w:t xml:space="preserve">JP Nagar's connectivity improved further after the Yellow Line's 10 August 2025 inauguration created a metro interchange with the existing Green Line (operational since 2017), reinforcing the corridor's appeal even as large new launches remain scarce within its established phases.</w:t>
      </w:r>
    </w:p>
    <w:p>
      <w:pPr>
        <w:spacing w:after="150"/>
      </w:pPr>
      <w:r>
        <w:rPr>
          <w:i/>
          <w:iCs/>
          <w:color w:val="595959"/>
          <w:sz w:val="18"/>
          <w:szCs w:val="18"/>
        </w:rPr>
        <w:t xml:space="preserve">Sources: 99acres/PropNewz (JP Nagar pricing); Propestate News/UpcomingPropertyHub (Bannerghatta Road transformation); PropNewz (JP Nagar metro interchange).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Bannerghatta Road's shift toward high-rise residential development is being accompanied by growing commercial and retail activity, as the corridor matures from a peripheral connector into a self-contained mixed-use hub.</w:t>
      </w:r>
    </w:p>
    <w:p>
      <w:pPr>
        <w:pStyle w:val="ListParagraph"/>
        <w:numPr>
          <w:ilvl w:val="0"/>
          <w:numId w:val="2"/>
        </w:numPr>
        <w:spacing w:after="80"/>
      </w:pPr>
      <w:r>
        <w:rPr>
          <w:b w:val="false"/>
          <w:bCs w:val="false"/>
        </w:rPr>
        <w:t xml:space="preserve">JP Nagar's metro interchange (Green Line-Yellow Line) is expected to support incremental commercial and retail leasing demand along the corridor as footfall and connectivity improve.</w:t>
      </w:r>
    </w:p>
    <w:p>
      <w:pPr>
        <w:pStyle w:val="ListParagraph"/>
        <w:numPr>
          <w:ilvl w:val="0"/>
          <w:numId w:val="2"/>
        </w:numPr>
        <w:spacing w:after="80"/>
      </w:pPr>
      <w:r>
        <w:rPr>
          <w:b w:val="false"/>
          <w:bCs w:val="false"/>
        </w:rPr>
        <w:t xml:space="preserve">South Bengaluru's JP Nagar-Bannerghatta Road belt continues to draw developer interest for under-construction gated and high-rise projects, particularly toward the Kothnur fringe where large land parcels remain available.</w:t>
      </w:r>
    </w:p>
    <w:p>
      <w:pPr>
        <w:spacing w:after="150"/>
      </w:pPr>
      <w:r>
        <w:rPr>
          <w:i/>
          <w:iCs/>
          <w:color w:val="595959"/>
          <w:sz w:val="18"/>
          <w:szCs w:val="18"/>
        </w:rPr>
        <w:t xml:space="preserve">Sources: Propestate News/UpcomingPropertyHub; PropNewz.</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Bengaluru's ongoing push for premium-FAR vertical-development rules remains directly relevant to corridors like Bannerghatta Road and JP Nagar's fringe areas, where high-rise projects are already the dominant new-launch format.</w:t>
      </w:r>
    </w:p>
    <w:p>
      <w:pPr>
        <w:pStyle w:val="ListParagraph"/>
        <w:numPr>
          <w:ilvl w:val="0"/>
          <w:numId w:val="2"/>
        </w:numPr>
        <w:spacing w:after="80"/>
      </w:pPr>
      <w:r>
        <w:rPr>
          <w:b w:val="false"/>
          <w:bCs w:val="false"/>
        </w:rPr>
        <w:t xml:space="preserve">K-RERA continues to operate without a permanent chairman following H.C. Kishore Chandra's retirement, with project registrations in fast-growing South Bengaluru corridors continuing under the regulator's existing framework in the interim.</w:t>
      </w:r>
    </w:p>
    <w:p>
      <w:pPr>
        <w:pStyle w:val="ListParagraph"/>
        <w:numPr>
          <w:ilvl w:val="0"/>
          <w:numId w:val="2"/>
        </w:numPr>
        <w:spacing w:after="80"/>
      </w:pPr>
      <w:r>
        <w:rPr>
          <w:b w:val="false"/>
          <w:bCs w:val="false"/>
        </w:rPr>
        <w:t xml:space="preserve">CREDAI Karnataka continues to track the Greater Bengaluru Authority's single-window approval rollout as it intersects with rising high-rise development activity across South Bengaluru's JP Nagar-Bannerghatta Road belt.</w:t>
      </w:r>
    </w:p>
    <w:p>
      <w:pPr>
        <w:spacing w:after="150"/>
      </w:pPr>
      <w:r>
        <w:rPr>
          <w:i/>
          <w:iCs/>
          <w:color w:val="595959"/>
          <w:sz w:val="18"/>
          <w:szCs w:val="18"/>
        </w:rPr>
        <w:t xml:space="preserve">Sources: Deccan Herald (K-RERA chairman vacancy, CREDAI FAR advocacy); Brigade Group/Indecimal (GBA single-window system).</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residential market recorded 38,403 units sold in 2025, a 4% increase over 2024, with the city's February 2026 property registrations alone totalling 6,179 transactions worth ₹4,139 crore.</w:t>
      </w:r>
    </w:p>
    <w:p>
      <w:pPr>
        <w:pStyle w:val="ListParagraph"/>
        <w:numPr>
          <w:ilvl w:val="0"/>
          <w:numId w:val="2"/>
        </w:numPr>
        <w:spacing w:after="80"/>
      </w:pPr>
      <w:r>
        <w:rPr>
          <w:b w:val="false"/>
          <w:bCs w:val="false"/>
        </w:rPr>
        <w:t xml:space="preserve">Chennai's housing sales more than doubled to 7,862 units in the July-September period from 3,560 units a year earlier, reinforcing the city's position among South India's fastest-growing residential markets.</w:t>
      </w:r>
    </w:p>
    <w:p>
      <w:pPr>
        <w:pStyle w:val="ListParagraph"/>
        <w:numPr>
          <w:ilvl w:val="0"/>
          <w:numId w:val="2"/>
        </w:numPr>
        <w:spacing w:after="80"/>
      </w:pPr>
      <w:r>
        <w:rPr>
          <w:b w:val="false"/>
          <w:bCs w:val="false"/>
        </w:rPr>
        <w:t xml:space="preserve">Hyderabad, Bengaluru and Chennai together posted 38,644 units sold in the September quarter, up 47% from 26,284 units in the year-ago period, underscoring continued momentum across South India's three largest metros.</w:t>
      </w:r>
    </w:p>
    <w:p>
      <w:pPr>
        <w:spacing w:after="150"/>
      </w:pPr>
      <w:r>
        <w:rPr>
          <w:i/>
          <w:iCs/>
          <w:color w:val="595959"/>
          <w:sz w:val="18"/>
          <w:szCs w:val="18"/>
        </w:rPr>
        <w:t xml:space="preserve">Sources: 99acres/Charan Group Updates (Hyderabad 2025 sales, February 2026 registrations); Business Standard/PropTiger (Chennai sales, three-city combined growth).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 Metro Phase 2's Central Government approval (connecting the airport and the Old City) and the Regional Ring Road's southern stretch continue to anchor the city's long-term commercial and industrial growth corridors.</w:t>
      </w:r>
    </w:p>
    <w:p>
      <w:pPr>
        <w:pStyle w:val="ListParagraph"/>
        <w:numPr>
          <w:ilvl w:val="0"/>
          <w:numId w:val="2"/>
        </w:numPr>
        <w:spacing w:after="80"/>
      </w:pPr>
      <w:r>
        <w:rPr>
          <w:b w:val="false"/>
          <w:bCs w:val="false"/>
        </w:rPr>
        <w:t xml:space="preserve">Hyderabad's steady residential registration volumes (6,179 transactions worth ₹4,139 crore in February 2026 alone) point to continued underlying commercial and ancillary-services demand around the city's key residential corridors.</w:t>
      </w:r>
    </w:p>
    <w:p>
      <w:pPr>
        <w:pStyle w:val="ListParagraph"/>
        <w:numPr>
          <w:ilvl w:val="0"/>
          <w:numId w:val="2"/>
        </w:numPr>
        <w:spacing w:after="80"/>
      </w:pPr>
      <w:r>
        <w:rPr>
          <w:b w:val="false"/>
          <w:bCs w:val="false"/>
        </w:rPr>
        <w:t xml:space="preserve">South India's combined residential momentum (Hyderabad, Bengaluru and Chennai up 47% YoY in the September quarter) continues to support broader commercial and retail spillover demand across the region's major cities.</w:t>
      </w:r>
    </w:p>
    <w:p>
      <w:pPr>
        <w:spacing w:after="150"/>
      </w:pPr>
      <w:r>
        <w:rPr>
          <w:i/>
          <w:iCs/>
          <w:color w:val="595959"/>
          <w:sz w:val="18"/>
          <w:szCs w:val="18"/>
        </w:rPr>
        <w:t xml:space="preserve">Sources: Charan Group Updates (Hyderabad Metro Phase 2, Regional Ring Road); Business Standard/PropTiger.</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 following TNRERA's formal circular earlier this month.</w:t>
      </w:r>
    </w:p>
    <w:p>
      <w:pPr>
        <w:pStyle w:val="ListParagraph"/>
        <w:numPr>
          <w:ilvl w:val="0"/>
          <w:numId w:val="2"/>
        </w:numPr>
        <w:spacing w:after="80"/>
      </w:pPr>
      <w:r>
        <w:rPr>
          <w:b w:val="false"/>
          <w:bCs w:val="false"/>
        </w:rPr>
        <w:t xml:space="preserve">Hyderabad's steady 2025 sales growth (+4% YoY) and strong February 2026 registration volumes offer a counterpoint to recent narratives of a prolonged Telangana realty slowdown, even as developers continue to press for further policy support.</w:t>
      </w:r>
    </w:p>
    <w:p>
      <w:pPr>
        <w:pStyle w:val="ListParagraph"/>
        <w:numPr>
          <w:ilvl w:val="0"/>
          <w:numId w:val="2"/>
        </w:numPr>
        <w:spacing w:after="80"/>
      </w:pPr>
      <w:r>
        <w:rPr>
          <w:b w:val="false"/>
          <w:bCs w:val="false"/>
        </w:rPr>
        <w:t xml:space="preserve">South Indian CREDAI chapters continue to monitor Karnataka's premium-FAR advocacy and K-RERA leadership transition as reference points for their own regulatory engagement with state governments.</w:t>
      </w:r>
    </w:p>
    <w:p>
      <w:pPr>
        <w:spacing w:after="150"/>
      </w:pPr>
      <w:r>
        <w:rPr>
          <w:i/>
          <w:iCs/>
          <w:color w:val="595959"/>
          <w:sz w:val="18"/>
          <w:szCs w:val="18"/>
        </w:rPr>
        <w:t xml:space="preserve">Sources: Business Standard (MoHUA advisory); 99acres/Charan Group Updates; Deccan Herald.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Home loan interest rates in India have fallen to near multi-year lows, starting around 7.10% per annum as of June 2026, with most large lenders clustered between 7.1% and 7.75% for prime borrower profiles.</w:t>
      </w:r>
    </w:p>
    <w:p>
      <w:pPr>
        <w:pStyle w:val="ListParagraph"/>
        <w:numPr>
          <w:ilvl w:val="0"/>
          <w:numId w:val="2"/>
        </w:numPr>
        <w:spacing w:after="80"/>
      </w:pPr>
      <w:r>
        <w:rPr>
          <w:b w:val="false"/>
          <w:bCs w:val="false"/>
        </w:rPr>
        <w:t xml:space="preserve">New residential launches fell approximately 40% YoY in the June quarter nationally, a supply pullback that is keeping prices firm even as overall sales volumes cool.</w:t>
      </w:r>
    </w:p>
    <w:p>
      <w:pPr>
        <w:pStyle w:val="ListParagraph"/>
        <w:numPr>
          <w:ilvl w:val="0"/>
          <w:numId w:val="2"/>
        </w:numPr>
        <w:spacing w:after="80"/>
      </w:pPr>
      <w:r>
        <w:rPr>
          <w:b w:val="false"/>
          <w:bCs w:val="false"/>
        </w:rPr>
        <w:t xml:space="preserve">India's top listed developers — DLF, Lodha, Prestige, Oberoi and Godrej — posted strong presales growth in Q1 FY26, with the sector recording approximately USD 2.3 billion in transactions during the June quarter.</w:t>
      </w:r>
    </w:p>
    <w:p>
      <w:pPr>
        <w:spacing w:after="150"/>
      </w:pPr>
      <w:r>
        <w:rPr>
          <w:i/>
          <w:iCs/>
          <w:color w:val="595959"/>
          <w:sz w:val="18"/>
          <w:szCs w:val="18"/>
        </w:rPr>
        <w:t xml:space="preserve">Sources: FinVastra/BankBazaar (home loan rates); Business Standard (new launches, NCR pricing); Business Standard (listed developer presales, Q2 2026 transaction value).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RBI's Monetary Policy Committee is widely expected to hold the repo rate at 5.25% for a fourth consecutive meeting (3–5 August 2026), a decision expected to keep borrowing costs — and by extension commercial real estate financing conditions — stable nationally.</w:t>
      </w:r>
    </w:p>
    <w:p>
      <w:pPr>
        <w:pStyle w:val="ListParagraph"/>
        <w:numPr>
          <w:ilvl w:val="0"/>
          <w:numId w:val="2"/>
        </w:numPr>
        <w:spacing w:after="80"/>
      </w:pPr>
      <w:r>
        <w:rPr>
          <w:b w:val="false"/>
          <w:bCs w:val="false"/>
        </w:rPr>
        <w:t xml:space="preserve">Near multi-year-low home loan rates (from 7.10% p.a.) are expected to support continued residential and mixed-use development financing nationally, even as new launches moderate.</w:t>
      </w:r>
    </w:p>
    <w:p>
      <w:pPr>
        <w:pStyle w:val="ListParagraph"/>
        <w:numPr>
          <w:ilvl w:val="0"/>
          <w:numId w:val="2"/>
        </w:numPr>
        <w:spacing w:after="80"/>
      </w:pPr>
      <w:r>
        <w:rPr>
          <w:b w:val="false"/>
          <w:bCs w:val="false"/>
        </w:rPr>
        <w:t xml:space="preserve">South India's residential and commercial momentum — Hyderabad's steady registrations, Chennai's sales surge, and Bengaluru's high-rise corridor growth — continues to punch above its weight in the national commercial real estate investment story.</w:t>
      </w:r>
    </w:p>
    <w:p>
      <w:pPr>
        <w:spacing w:after="150"/>
      </w:pPr>
      <w:r>
        <w:rPr>
          <w:i/>
          <w:iCs/>
          <w:color w:val="595959"/>
          <w:sz w:val="18"/>
          <w:szCs w:val="18"/>
        </w:rPr>
        <w:t xml:space="preserve">Sources: FinVastra (RBI rate expectations); BankBazaar; Business Standard/PropTiger.</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at the state level following TNRERA's formal circular and other state RERA actions.</w:t>
      </w:r>
    </w:p>
    <w:p>
      <w:pPr>
        <w:pStyle w:val="ListParagraph"/>
        <w:numPr>
          <w:ilvl w:val="0"/>
          <w:numId w:val="2"/>
        </w:numPr>
        <w:spacing w:after="80"/>
      </w:pPr>
      <w:r>
        <w:rPr>
          <w:b w:val="false"/>
          <w:bCs w:val="false"/>
        </w:rPr>
        <w:t xml:space="preserve">Falling home loan rates and firm pricing amid a national new-launch pullback (-40% YoY in the June quarter) are together reshaping affordability and developer strategy conversations that CREDAI chapters nationally continue to track closely.</w:t>
      </w:r>
    </w:p>
    <w:p>
      <w:pPr>
        <w:pStyle w:val="ListParagraph"/>
        <w:numPr>
          <w:ilvl w:val="0"/>
          <w:numId w:val="2"/>
        </w:numPr>
        <w:spacing w:after="80"/>
      </w:pPr>
      <w:r>
        <w:rPr>
          <w:b w:val="false"/>
          <w:bCs w:val="false"/>
        </w:rPr>
        <w:t xml:space="preserve">Karnataka's ongoing K-RERA leadership vacancy remains a live governance discussion point for state regulators nationally, even as CREDAI chapters across states continue pressing parallel regulatory and building-rule reforms.</w:t>
      </w:r>
    </w:p>
    <w:p>
      <w:pPr>
        <w:spacing w:after="150"/>
      </w:pPr>
      <w:r>
        <w:rPr>
          <w:i/>
          <w:iCs/>
          <w:color w:val="595959"/>
          <w:sz w:val="18"/>
          <w:szCs w:val="18"/>
        </w:rPr>
        <w:t xml:space="preserve">Sources: Business Standard; FinVastra; 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2026-08-19T03:40:24.983Z</dcterms:created>
  <dcterms:modified xsi:type="dcterms:W3CDTF">2026-08-19T03:40:24.997Z</dcterms:modified>
</cp:coreProperties>
</file>

<file path=docProps/custom.xml><?xml version="1.0" encoding="utf-8"?>
<Properties xmlns="http://schemas.openxmlformats.org/officeDocument/2006/custom-properties" xmlns:vt="http://schemas.openxmlformats.org/officeDocument/2006/docPropsVTypes"/>
</file>