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Wednesday, 12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recorded 12,544 residential launches in Q2 2026, a moderate 4% YoY rise, with steady momentum continuing even as the city's unsold inventory remains among India's highest.</w:t>
      </w:r>
    </w:p>
    <w:p>
      <w:pPr>
        <w:pStyle w:val="ListParagraph"/>
        <w:numPr>
          <w:ilvl w:val="0"/>
          <w:numId w:val="2"/>
        </w:numPr>
        <w:spacing w:after="80"/>
      </w:pPr>
      <w:r>
        <w:rPr>
          <w:b w:val="false"/>
          <w:bCs w:val="false"/>
        </w:rPr>
        <w:t xml:space="preserve">Central Bengaluru is poised for a major transformation as Godrej Properties, Bagmane Group, Embassy Group and Brigade Group prepare new commercial and mixed-use projects in the CBD, reflecting renewed developer confidence in the city's core.</w:t>
      </w:r>
    </w:p>
    <w:p>
      <w:pPr>
        <w:pStyle w:val="ListParagraph"/>
        <w:numPr>
          <w:ilvl w:val="0"/>
          <w:numId w:val="2"/>
        </w:numPr>
        <w:spacing w:after="80"/>
      </w:pPr>
      <w:r>
        <w:rPr>
          <w:b w:val="false"/>
          <w:bCs w:val="false"/>
        </w:rPr>
        <w:t xml:space="preserve">Green-certified supply is expected to reach 80–90% of new residential launches nationally in 2026, a sustainability shift increasingly visible in Bengaluru's new project pipeline as buyers prioritise design quality and long-term value.</w:t>
      </w:r>
    </w:p>
    <w:p>
      <w:pPr>
        <w:spacing w:after="150"/>
      </w:pPr>
      <w:r>
        <w:rPr>
          <w:i/>
          <w:iCs/>
          <w:color w:val="595959"/>
          <w:sz w:val="18"/>
          <w:szCs w:val="18"/>
        </w:rPr>
        <w:t xml:space="preserve">Sources: PropNewsTime/NoBroker Times (Q2 2026 launches); NewsKarnataka (Central Bengaluru office boom); Colliers India 2026 Outlook (green-certified supply).</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Central Bengaluru's CBD is set for a significant office-development wave, with Godrej Properties, Bagmane Group, Embassy Group and Brigade Group all planning major projects over the next few years to meet renewed premium office demand.</w:t>
      </w:r>
    </w:p>
    <w:p>
      <w:pPr>
        <w:pStyle w:val="ListParagraph"/>
        <w:numPr>
          <w:ilvl w:val="0"/>
          <w:numId w:val="2"/>
        </w:numPr>
        <w:spacing w:after="80"/>
      </w:pPr>
      <w:r>
        <w:rPr>
          <w:b w:val="false"/>
          <w:bCs w:val="false"/>
        </w:rPr>
        <w:t xml:space="preserve">Bengaluru continued to lead India's commercial property market in H1 2026, with companies leasing 14.1 million sq ft even as citywide leasing volumes moderate from year-ago peaks.</w:t>
      </w:r>
    </w:p>
    <w:p>
      <w:pPr>
        <w:pStyle w:val="ListParagraph"/>
        <w:numPr>
          <w:ilvl w:val="0"/>
          <w:numId w:val="2"/>
        </w:numPr>
        <w:spacing w:after="80"/>
      </w:pPr>
      <w:r>
        <w:rPr>
          <w:b w:val="false"/>
          <w:bCs w:val="false"/>
        </w:rPr>
        <w:t xml:space="preserve">Occupiers are increasingly favouring long-term stability and sustainability credentials, reinforcing demand for the new Grade A, green-certified office stock coming up in the CBD.</w:t>
      </w:r>
    </w:p>
    <w:p>
      <w:pPr>
        <w:spacing w:after="150"/>
      </w:pPr>
      <w:r>
        <w:rPr>
          <w:i/>
          <w:iCs/>
          <w:color w:val="595959"/>
          <w:sz w:val="18"/>
          <w:szCs w:val="18"/>
        </w:rPr>
        <w:t xml:space="preserve">Sources: NewsKarnataka (Central Bengaluru CBD office boom); Business Standard (H1 2026 leasing).</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is preparing to formally approach the state government urging it to keep amendments to the Karnataka Land Reforms Act intact, working alongside chambers of commerce and industry to safeguard developer interests.</w:t>
      </w:r>
    </w:p>
    <w:p>
      <w:pPr>
        <w:pStyle w:val="ListParagraph"/>
        <w:numPr>
          <w:ilvl w:val="0"/>
          <w:numId w:val="2"/>
        </w:numPr>
        <w:spacing w:after="80"/>
      </w:pPr>
      <w:r>
        <w:rPr>
          <w:b w:val="false"/>
          <w:bCs w:val="false"/>
        </w:rPr>
        <w:t xml:space="preserve">K-RERA remains without a permanent chairman following H.C. Kishore Chandra's retirement, with the state government unlikely to appoint a successor until the election-related model code of conduct lifts.</w:t>
      </w:r>
    </w:p>
    <w:p>
      <w:pPr>
        <w:pStyle w:val="ListParagraph"/>
        <w:numPr>
          <w:ilvl w:val="0"/>
          <w:numId w:val="2"/>
        </w:numPr>
        <w:spacing w:after="80"/>
      </w:pPr>
      <w:r>
        <w:rPr>
          <w:b w:val="false"/>
          <w:bCs w:val="false"/>
        </w:rPr>
        <w:t xml:space="preserve">CREDAI Karnataka continues to balance advocacy on land-reform amendments with its ongoing e-Khata and registration-process concerns raised with the state government.</w:t>
      </w:r>
    </w:p>
    <w:p>
      <w:pPr>
        <w:spacing w:after="150"/>
      </w:pPr>
      <w:r>
        <w:rPr>
          <w:i/>
          <w:iCs/>
          <w:color w:val="595959"/>
          <w:sz w:val="18"/>
          <w:szCs w:val="18"/>
        </w:rPr>
        <w:t xml:space="preserve">Sources: Deccan Herald (Karnataka Land Reforms Act, K-RERA chairman vacancy); CREDAI Karnataka.</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 recorded residential sales of 9,198 units in H1 2026, up 3% YoY, with average housing prices rising 5% YoY to ₹7,555 per sq ft; homes priced ₹50 lakh–1 crore accounted for 47% of total sales, followed by the ₹1–2 crore segment at 27%.</w:t>
      </w:r>
    </w:p>
    <w:p>
      <w:pPr>
        <w:pStyle w:val="ListParagraph"/>
        <w:numPr>
          <w:ilvl w:val="0"/>
          <w:numId w:val="2"/>
        </w:numPr>
        <w:spacing w:after="80"/>
      </w:pPr>
      <w:r>
        <w:rPr>
          <w:b w:val="false"/>
          <w:bCs w:val="false"/>
        </w:rPr>
        <w:t xml:space="preserve">OMR remains Chennai's most active transactional corridor, averaging ~₹7,250 per sq ft with 52.6% price appreciation over five years and 31.8% over three years, driven by GCC- and IT/ITeS-led housing demand around OMR, Perungudi and Sholinganallur.</w:t>
      </w:r>
    </w:p>
    <w:p>
      <w:pPr>
        <w:pStyle w:val="ListParagraph"/>
        <w:numPr>
          <w:ilvl w:val="0"/>
          <w:numId w:val="2"/>
        </w:numPr>
        <w:spacing w:after="80"/>
      </w:pPr>
      <w:r>
        <w:rPr>
          <w:b w:val="false"/>
          <w:bCs w:val="false"/>
        </w:rPr>
        <w:t xml:space="preserve">Hyderabad's growth is increasingly concentrated in peripheral corridors — Financial District, Kokapet, Tellapur, Narsingi, Kollur, Bachupally, Kompally and Miyapur — with Kokapet's Neopolis micro-market emerging as a major premium destination for apartments, villas and gated communities.</w:t>
      </w:r>
    </w:p>
    <w:p>
      <w:pPr>
        <w:spacing w:after="150"/>
      </w:pPr>
      <w:r>
        <w:rPr>
          <w:i/>
          <w:iCs/>
          <w:color w:val="595959"/>
          <w:sz w:val="18"/>
          <w:szCs w:val="18"/>
        </w:rPr>
        <w:t xml:space="preserve">Sources: Verified.RealEstate/LiveHomes (Chennai H1 2026, OMR trends); AparnaDecors (Hyderabad growth corridors).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OMR's employment-linked rental market is growing 8–10% on the back of return-to-office mandates and limited ready-to-move inventory, with co-living and managed student housing reaching yields of up to 4.5%.</w:t>
      </w:r>
    </w:p>
    <w:p>
      <w:pPr>
        <w:pStyle w:val="ListParagraph"/>
        <w:numPr>
          <w:ilvl w:val="0"/>
          <w:numId w:val="2"/>
        </w:numPr>
        <w:spacing w:after="80"/>
      </w:pPr>
      <w:r>
        <w:rPr>
          <w:b w:val="false"/>
          <w:bCs w:val="false"/>
        </w:rPr>
        <w:t xml:space="preserve">GCCs accounted for a record 55% of Chennai's office leasing in Q1 2026, continuing to be the single biggest demand driver for premium and luxury residential housing near OMR.</w:t>
      </w:r>
    </w:p>
    <w:p>
      <w:pPr>
        <w:pStyle w:val="ListParagraph"/>
        <w:numPr>
          <w:ilvl w:val="0"/>
          <w:numId w:val="2"/>
        </w:numPr>
        <w:spacing w:after="80"/>
      </w:pPr>
      <w:r>
        <w:rPr>
          <w:b w:val="false"/>
          <w:bCs w:val="false"/>
        </w:rPr>
        <w:t xml:space="preserve">Kokapet's Neopolis development continues to anchor Hyderabad's premium commercial and residential growth story, reinforcing the tight link between the city's IT-corridor expansion and its property market.</w:t>
      </w:r>
    </w:p>
    <w:p>
      <w:pPr>
        <w:spacing w:after="150"/>
      </w:pPr>
      <w:r>
        <w:rPr>
          <w:i/>
          <w:iCs/>
          <w:color w:val="595959"/>
          <w:sz w:val="18"/>
          <w:szCs w:val="18"/>
        </w:rPr>
        <w:t xml:space="preserve">Sources: LiveHomes (OMR rental trends); Verified.RealEstate (Chennai GCC leasing); AparnaDecors (Hyderabad Kokapet/Neopolis).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w:t>
      </w:r>
    </w:p>
    <w:p>
      <w:pPr>
        <w:pStyle w:val="ListParagraph"/>
        <w:numPr>
          <w:ilvl w:val="0"/>
          <w:numId w:val="2"/>
        </w:numPr>
        <w:spacing w:after="80"/>
      </w:pPr>
      <w:r>
        <w:rPr>
          <w:b w:val="false"/>
          <w:bCs w:val="false"/>
        </w:rPr>
        <w:t xml:space="preserve">The Telangana government's ₹4 lakh crore mobility plan for Hyderabad through 2050 continues to shape long-term planning conversations among South Indian developer bodies about future growth corridors.</w:t>
      </w:r>
    </w:p>
    <w:p>
      <w:pPr>
        <w:pStyle w:val="ListParagraph"/>
        <w:numPr>
          <w:ilvl w:val="0"/>
          <w:numId w:val="2"/>
        </w:numPr>
        <w:spacing w:after="80"/>
      </w:pPr>
      <w:r>
        <w:rPr>
          <w:b w:val="false"/>
          <w:bCs w:val="false"/>
        </w:rPr>
        <w:t xml:space="preserve">South Indian CREDAI chapters continue to track Karnataka's land-reform and K-RERA leadership developments as a bellwether for how state-level policy shifts can affect developer operations regionally.</w:t>
      </w:r>
    </w:p>
    <w:p>
      <w:pPr>
        <w:spacing w:after="150"/>
      </w:pPr>
      <w:r>
        <w:rPr>
          <w:i/>
          <w:iCs/>
          <w:color w:val="595959"/>
          <w:sz w:val="18"/>
          <w:szCs w:val="18"/>
        </w:rPr>
        <w:t xml:space="preserve">Sources: Business Standard (MoHUA advisory); Charan Group Updates (Telangana mobility plan); Deccan Herald.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Homebuyers nationally are increasingly prioritising lifestyle- and sustainability-driven housing in 2026, with green-certified supply expected to reach 80–90% of new launches, pushing overall green penetration to 70–75% at the India level.</w:t>
      </w:r>
    </w:p>
    <w:p>
      <w:pPr>
        <w:pStyle w:val="ListParagraph"/>
        <w:numPr>
          <w:ilvl w:val="0"/>
          <w:numId w:val="2"/>
        </w:numPr>
        <w:spacing w:after="80"/>
      </w:pPr>
      <w:r>
        <w:rPr>
          <w:b w:val="false"/>
          <w:bCs w:val="false"/>
        </w:rPr>
        <w:t xml:space="preserve">The market is transitioning toward consolidation and quality-led growth nationally, supported by improving macroeconomic stability, moderating inflation and sustained employment generation.</w:t>
      </w:r>
    </w:p>
    <w:p>
      <w:pPr>
        <w:pStyle w:val="ListParagraph"/>
        <w:numPr>
          <w:ilvl w:val="0"/>
          <w:numId w:val="2"/>
        </w:numPr>
        <w:spacing w:after="80"/>
      </w:pPr>
      <w:r>
        <w:rPr>
          <w:b w:val="false"/>
          <w:bCs w:val="false"/>
        </w:rPr>
        <w:t xml:space="preserve">Infrastructure augmentation in Tier I markets continues to expand residential catchment areas into suburban and peripheral localities near office hubs — a pattern visible from Bengaluru's CBD revival to Hyderabad's Kokapet–Neopolis corridor and Chennai's OMR belt.</w:t>
      </w:r>
    </w:p>
    <w:p>
      <w:pPr>
        <w:spacing w:after="150"/>
      </w:pPr>
      <w:r>
        <w:rPr>
          <w:i/>
          <w:iCs/>
          <w:color w:val="595959"/>
          <w:sz w:val="18"/>
          <w:szCs w:val="18"/>
        </w:rPr>
        <w:t xml:space="preserve">Sources: Colliers India 2026 Outlook.</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Central Business District office-development wave (Godrej Properties, Bagmane Group, Embassy Group, Brigade Group) and Chennai's record 55% GCC leasing share in Q1 2026 together illustrate GCCs' continued centrality to India's national commercial real estate story.</w:t>
      </w:r>
    </w:p>
    <w:p>
      <w:pPr>
        <w:pStyle w:val="ListParagraph"/>
        <w:numPr>
          <w:ilvl w:val="0"/>
          <w:numId w:val="2"/>
        </w:numPr>
        <w:spacing w:after="80"/>
      </w:pPr>
      <w:r>
        <w:rPr>
          <w:b w:val="false"/>
          <w:bCs w:val="false"/>
        </w:rPr>
        <w:t xml:space="preserve">Developers nationally are expanding into Tier II/III cities as leading residential players diversify beyond saturated Tier I markets, per Colliers' 2026 outlook.</w:t>
      </w:r>
    </w:p>
    <w:p>
      <w:pPr>
        <w:pStyle w:val="ListParagraph"/>
        <w:numPr>
          <w:ilvl w:val="0"/>
          <w:numId w:val="2"/>
        </w:numPr>
        <w:spacing w:after="80"/>
      </w:pPr>
      <w:r>
        <w:rPr>
          <w:b w:val="false"/>
          <w:bCs w:val="false"/>
        </w:rPr>
        <w:t xml:space="preserve">Sustainability and green-building credentials are becoming a baseline national leasing and buying criterion, reinforcing demand for newer, certified commercial and residential stock over legacy inventory.</w:t>
      </w:r>
    </w:p>
    <w:p>
      <w:pPr>
        <w:spacing w:after="150"/>
      </w:pPr>
      <w:r>
        <w:rPr>
          <w:i/>
          <w:iCs/>
          <w:color w:val="595959"/>
          <w:sz w:val="18"/>
          <w:szCs w:val="18"/>
        </w:rPr>
        <w:t xml:space="preserve">Sources: Colliers India 2026 Outlook; NewsKarnataka; Verified.RealEstate.</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nationally amid West Asia conflict-linked supply-chain disruptions.</w:t>
      </w:r>
    </w:p>
    <w:p>
      <w:pPr>
        <w:pStyle w:val="ListParagraph"/>
        <w:numPr>
          <w:ilvl w:val="0"/>
          <w:numId w:val="2"/>
        </w:numPr>
        <w:spacing w:after="80"/>
      </w:pPr>
      <w:r>
        <w:rPr>
          <w:b w:val="false"/>
          <w:bCs w:val="false"/>
        </w:rPr>
        <w:t xml:space="preserve">CREDAI Karnataka's push to preserve the Karnataka Land Reforms Act amendments is emerging as a closely watched national case study in developer-body advocacy on land-policy matters.</w:t>
      </w:r>
    </w:p>
    <w:p>
      <w:pPr>
        <w:pStyle w:val="ListParagraph"/>
        <w:numPr>
          <w:ilvl w:val="0"/>
          <w:numId w:val="2"/>
        </w:numPr>
        <w:spacing w:after="80"/>
      </w:pPr>
      <w:r>
        <w:rPr>
          <w:b w:val="false"/>
          <w:bCs w:val="false"/>
        </w:rPr>
        <w:t xml:space="preserve">K-RERA's continuing leadership vacancy, pending appointment of a successor to H.C. Kishore Chandra, remains a live governance discussion point for state RERAs nationally.</w:t>
      </w:r>
    </w:p>
    <w:p>
      <w:pPr>
        <w:spacing w:after="150"/>
      </w:pPr>
      <w:r>
        <w:rPr>
          <w:i/>
          <w:iCs/>
          <w:color w:val="595959"/>
          <w:sz w:val="18"/>
          <w:szCs w:val="18"/>
        </w:rPr>
        <w:t xml:space="preserve">Sources: Business Standard; Deccan Herald.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2026-08-12T03:39:54.594Z</dcterms:created>
  <dcterms:modified xsi:type="dcterms:W3CDTF">2026-08-12T03:39:54.608Z</dcterms:modified>
</cp:coreProperties>
</file>

<file path=docProps/custom.xml><?xml version="1.0" encoding="utf-8"?>
<Properties xmlns="http://schemas.openxmlformats.org/officeDocument/2006/custom-properties" xmlns:vt="http://schemas.openxmlformats.org/officeDocument/2006/docPropsVTypes"/>
</file>