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5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Yemalur, a residential locality near HAL Airport Road and Bellandur, has grown significantly on the back of its proximity to the Outer Ring Road IT corridor, with mid-range pricing popular among IT professionals in the south-east tech belt.</w:t>
      </w:r>
    </w:p>
    <w:p>
      <w:pPr>
        <w:pStyle w:val="ListParagraph"/>
        <w:numPr>
          <w:ilvl w:val="0"/>
          <w:numId w:val="2"/>
        </w:numPr>
        <w:spacing w:after="80"/>
      </w:pPr>
      <w:r>
        <w:rPr>
          <w:b w:val="false"/>
          <w:bCs w:val="false"/>
        </w:rPr>
        <w:t xml:space="preserve">Bengaluru recorded 12,442 residential launches in Q3 2026, with East and South-East submarkets — including Yemalur, Bellandur and the ORR belt — emerging as the most active.</w:t>
      </w:r>
    </w:p>
    <w:p>
      <w:pPr>
        <w:pStyle w:val="ListParagraph"/>
        <w:numPr>
          <w:ilvl w:val="0"/>
          <w:numId w:val="2"/>
        </w:numPr>
        <w:spacing w:after="80"/>
      </w:pPr>
      <w:r>
        <w:rPr>
          <w:b w:val="false"/>
          <w:bCs w:val="false"/>
        </w:rPr>
        <w:t xml:space="preserve">Bagmane Group, which operates the Bagmane World Technology Centre on ORR, is reportedly considering an IPO valued at up to ₹4,000 crore, underscoring continued institutional confidence in ORR-anchored developers.</w:t>
      </w:r>
    </w:p>
    <w:p>
      <w:pPr>
        <w:spacing w:after="150"/>
      </w:pPr>
      <w:r>
        <w:rPr>
          <w:i/>
          <w:iCs/>
          <w:color w:val="595959"/>
          <w:sz w:val="18"/>
          <w:szCs w:val="18"/>
        </w:rPr>
        <w:t xml:space="preserve">Sources: SquareYards (Yemalur profile and pricing); Cushman &amp; Wakefield/NoBroker (Q3 2026 launch data, submarket activity); Wikipedia (Bagmane Group IPO consideration).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sustained strong momentum in Q2 2026, recording a gross leasing volume of 5.6 million sq ft, driven by healthy occupier demand and robust GCC activity.</w:t>
      </w:r>
    </w:p>
    <w:p>
      <w:pPr>
        <w:pStyle w:val="ListParagraph"/>
        <w:numPr>
          <w:ilvl w:val="0"/>
          <w:numId w:val="2"/>
        </w:numPr>
        <w:spacing w:after="80"/>
      </w:pPr>
      <w:r>
        <w:rPr>
          <w:b w:val="false"/>
          <w:bCs w:val="false"/>
        </w:rPr>
        <w:t xml:space="preserve">Outer Ring Road and Peripheral East continue to attract the city's highest office leasing activity, with proximity to ORR tech hubs and planned future ring-road connections keeping demand and capital values robust.</w:t>
      </w:r>
    </w:p>
    <w:p>
      <w:pPr>
        <w:pStyle w:val="ListParagraph"/>
        <w:numPr>
          <w:ilvl w:val="0"/>
          <w:numId w:val="2"/>
        </w:numPr>
        <w:spacing w:after="80"/>
      </w:pPr>
      <w:r>
        <w:rPr>
          <w:b w:val="false"/>
          <w:bCs w:val="false"/>
        </w:rPr>
        <w:t xml:space="preserve">Continued institutional interest in ORR-anchored developers like Bagmane Group reinforces the corridor's position as Bengaluru's primary commercial growth engine.</w:t>
      </w:r>
    </w:p>
    <w:p>
      <w:pPr>
        <w:spacing w:after="150"/>
      </w:pPr>
      <w:r>
        <w:rPr>
          <w:i/>
          <w:iCs/>
          <w:color w:val="595959"/>
          <w:sz w:val="18"/>
          <w:szCs w:val="18"/>
        </w:rPr>
        <w:t xml:space="preserve">Sources: Cushman &amp; Wakefield (Q2 2026 office leasing volume, ORR demand drivers); Wikipedia (Bagmane Group).</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September 2026 order directing a developer to pay ₹10 lakh in compensation to four Jala Hobli homebuyers for missing amenities reinforces that builders remain bound by marketing commitments even after sale deeds are finalised.</w:t>
      </w:r>
    </w:p>
    <w:p>
      <w:pPr>
        <w:pStyle w:val="ListParagraph"/>
        <w:numPr>
          <w:ilvl w:val="0"/>
          <w:numId w:val="2"/>
        </w:numPr>
        <w:spacing w:after="80"/>
      </w:pPr>
      <w:r>
        <w:rPr>
          <w:b w:val="false"/>
          <w:bCs w:val="false"/>
        </w:rPr>
        <w:t xml:space="preserve">A separate K-RERA ruling required a Bengaluru developer to complete all promised amenities within 90 days of a complaint, restore power supply, transfer the land Khata, and hand over the corpus fund and escrow balance to the residents' association.</w:t>
      </w:r>
    </w:p>
    <w:p>
      <w:pPr>
        <w:pStyle w:val="ListParagraph"/>
        <w:numPr>
          <w:ilvl w:val="0"/>
          <w:numId w:val="2"/>
        </w:numPr>
        <w:spacing w:after="80"/>
      </w:pPr>
      <w:r>
        <w:rPr>
          <w:b w:val="false"/>
          <w:bCs w:val="false"/>
        </w:rPr>
        <w:t xml:space="preserve">CREDAI Karnataka is likely to view K-RERA's continued strict enforcement on amenity completion and fund transfers as a signal to tighten internal project-delivery standards industry-wide.</w:t>
      </w:r>
    </w:p>
    <w:p>
      <w:pPr>
        <w:spacing w:after="150"/>
      </w:pPr>
      <w:r>
        <w:rPr>
          <w:i/>
          <w:iCs/>
          <w:color w:val="595959"/>
          <w:sz w:val="18"/>
          <w:szCs w:val="18"/>
        </w:rPr>
        <w:t xml:space="preserve">Sources: Whalesbook (K-RERA Jala Hobli ₹10 lakh compensation order); MyPunePulse (K-RERA 90-day amenity-completion ruling).</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OMR and Porur are seeing rental growth of 8-10%, driven by the return-to-office mandate and limited ready-to-move inventory in these employment-linked Chennai corridors.</w:t>
      </w:r>
    </w:p>
    <w:p>
      <w:pPr>
        <w:pStyle w:val="ListParagraph"/>
        <w:numPr>
          <w:ilvl w:val="0"/>
          <w:numId w:val="2"/>
        </w:numPr>
        <w:spacing w:after="80"/>
      </w:pPr>
      <w:r>
        <w:rPr>
          <w:b w:val="false"/>
          <w:bCs w:val="false"/>
        </w:rPr>
        <w:t xml:space="preserve">Chennai's rental yields average approximately 5.09% — significantly higher than Mumbai's 3.84% — making it among the better-performing Indian cities for yield-focused real estate investment.</w:t>
      </w:r>
    </w:p>
    <w:p>
      <w:pPr>
        <w:pStyle w:val="ListParagraph"/>
        <w:numPr>
          <w:ilvl w:val="0"/>
          <w:numId w:val="2"/>
        </w:numPr>
        <w:spacing w:after="80"/>
      </w:pPr>
      <w:r>
        <w:rPr>
          <w:b w:val="false"/>
          <w:bCs w:val="false"/>
        </w:rPr>
        <w:t xml:space="preserve">Tamil Nadu's real estate sector posted 10.83% growth in 2025-26, with Chennai, Coimbatore and Madurai emerging as the state's key growth hotspots.</w:t>
      </w:r>
    </w:p>
    <w:p>
      <w:pPr>
        <w:spacing w:after="150"/>
      </w:pPr>
      <w:r>
        <w:rPr>
          <w:i/>
          <w:iCs/>
          <w:color w:val="595959"/>
          <w:sz w:val="18"/>
          <w:szCs w:val="18"/>
        </w:rPr>
        <w:t xml:space="preserve">Sources: LiveHomes (OMR/Porur rental growth, Chennai rental yields); NoBroker (Tamil Nadu 2025-26 growth, Chennai/Coimbatore/Madurai hotspots).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office leasing activity reached 1.5 million sq ft in Q1 2026, with office rentals rising 8% YoY amid sustained occupier demand.</w:t>
      </w:r>
    </w:p>
    <w:p>
      <w:pPr>
        <w:pStyle w:val="ListParagraph"/>
        <w:numPr>
          <w:ilvl w:val="0"/>
          <w:numId w:val="2"/>
        </w:numPr>
        <w:spacing w:after="80"/>
      </w:pPr>
      <w:r>
        <w:rPr>
          <w:b w:val="false"/>
          <w:bCs w:val="false"/>
        </w:rPr>
        <w:t xml:space="preserve">Chennai's retail sector lagged with a 19% YoY decline in Q1 2026, even as office and residential segments posted positive growth — reflecting an uneven recovery across the city's commercial asset classes.</w:t>
      </w:r>
    </w:p>
    <w:p>
      <w:pPr>
        <w:pStyle w:val="ListParagraph"/>
        <w:numPr>
          <w:ilvl w:val="0"/>
          <w:numId w:val="2"/>
        </w:numPr>
        <w:spacing w:after="80"/>
      </w:pPr>
      <w:r>
        <w:rPr>
          <w:b w:val="false"/>
          <w:bCs w:val="false"/>
        </w:rPr>
        <w:t xml:space="preserve">Continued OMR and Porur rental strength, tied to the return-to-office mandate, is reinforcing demand for supporting retail and commercial infrastructure along these employment corridors.</w:t>
      </w:r>
    </w:p>
    <w:p>
      <w:pPr>
        <w:spacing w:after="150"/>
      </w:pPr>
      <w:r>
        <w:rPr>
          <w:i/>
          <w:iCs/>
          <w:color w:val="595959"/>
          <w:sz w:val="18"/>
          <w:szCs w:val="18"/>
        </w:rPr>
        <w:t xml:space="preserve">Sources: Banking Inputs (Chennai Q1 2026 office leasing, retail decline); LiveHomes.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cite the state's 10.83% real estate growth in 2025-26 and Chennai's strong rental yields as evidence of sustained investor confidence in the region.</w:t>
      </w:r>
    </w:p>
    <w:p>
      <w:pPr>
        <w:pStyle w:val="ListParagraph"/>
        <w:numPr>
          <w:ilvl w:val="0"/>
          <w:numId w:val="2"/>
        </w:numPr>
        <w:spacing w:after="80"/>
      </w:pPr>
      <w:r>
        <w:rPr>
          <w:b w:val="false"/>
          <w:bCs w:val="false"/>
        </w:rPr>
        <w:t xml:space="preserve">Continued rental growth in OMR and Porur, driven by return-to-office demand, gives CREDAI Tamil Nadu a fresh data point for advocating continued investment in employment-linked residential corridors.</w:t>
      </w:r>
    </w:p>
    <w:p>
      <w:pPr>
        <w:pStyle w:val="ListParagraph"/>
        <w:numPr>
          <w:ilvl w:val="0"/>
          <w:numId w:val="2"/>
        </w:numPr>
        <w:spacing w:after="80"/>
      </w:pPr>
      <w:r>
        <w:rPr>
          <w:b w:val="false"/>
          <w:bCs w:val="false"/>
        </w:rPr>
        <w:t xml:space="preserve">Chennai's retail sector softness is likely to be monitored by CREDAI Tamil Nadu even as office and residential segments continue outperforming.</w:t>
      </w:r>
    </w:p>
    <w:p>
      <w:pPr>
        <w:spacing w:after="150"/>
      </w:pPr>
      <w:r>
        <w:rPr>
          <w:i/>
          <w:iCs/>
          <w:color w:val="595959"/>
          <w:sz w:val="18"/>
          <w:szCs w:val="18"/>
        </w:rPr>
        <w:t xml:space="preserve">Sources: NoBroker; Banking Inputs; LiveHomes.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Mumbai property registrations rose 29% in September to 11,744 units, generating ₹1,256 crore in revenue, as festive demand and buyer momentum drove growth.</w:t>
      </w:r>
    </w:p>
    <w:p>
      <w:pPr>
        <w:pStyle w:val="ListParagraph"/>
        <w:numPr>
          <w:ilvl w:val="0"/>
          <w:numId w:val="2"/>
        </w:numPr>
        <w:spacing w:after="80"/>
      </w:pPr>
      <w:r>
        <w:rPr>
          <w:b w:val="false"/>
          <w:bCs w:val="false"/>
        </w:rPr>
        <w:t xml:space="preserve">Real estate associations have urged states to reduce stamp duty on affordable-home registrations to 1% for women buyers and 3% for men, aiming to boost affordability nationally.</w:t>
      </w:r>
    </w:p>
    <w:p>
      <w:pPr>
        <w:pStyle w:val="ListParagraph"/>
        <w:numPr>
          <w:ilvl w:val="0"/>
          <w:numId w:val="2"/>
        </w:numPr>
        <w:spacing w:after="80"/>
      </w:pPr>
      <w:r>
        <w:rPr>
          <w:b w:val="false"/>
          <w:bCs w:val="false"/>
        </w:rPr>
        <w:t xml:space="preserve">Stamp duty and registration charges continue to vary significantly by state — from Andhra Pradesh's 5% and Karnataka's 2-5% to Maharashtra's 5-7% and Tamil Nadu's 7% — shaping regional registration-cost competitiveness.</w:t>
      </w:r>
    </w:p>
    <w:p>
      <w:pPr>
        <w:spacing w:after="150"/>
      </w:pPr>
      <w:r>
        <w:rPr>
          <w:i/>
          <w:iCs/>
          <w:color w:val="595959"/>
          <w:sz w:val="18"/>
          <w:szCs w:val="18"/>
        </w:rPr>
        <w:t xml:space="preserve">Sources: Business Standard (Mumbai September registration surge); Godrej Capital/SquareYards (stamp duty reduction advocacy, state-wise rate comparison).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From February 2026, digital property registration became mandatory in many states, allowing buyers and sellers to complete registration online through state land registry portals, improving transparency nationally.</w:t>
      </w:r>
    </w:p>
    <w:p>
      <w:pPr>
        <w:pStyle w:val="ListParagraph"/>
        <w:numPr>
          <w:ilvl w:val="0"/>
          <w:numId w:val="2"/>
        </w:numPr>
        <w:spacing w:after="80"/>
      </w:pPr>
      <w:r>
        <w:rPr>
          <w:b w:val="false"/>
          <w:bCs w:val="false"/>
        </w:rPr>
        <w:t xml:space="preserve">India's new land and property registration rules introduced in 2026 aim to make the process faster, safer and more transparent, with reduced reliance on physical paperwork.</w:t>
      </w:r>
    </w:p>
    <w:p>
      <w:pPr>
        <w:pStyle w:val="ListParagraph"/>
        <w:numPr>
          <w:ilvl w:val="0"/>
          <w:numId w:val="2"/>
        </w:numPr>
        <w:spacing w:after="80"/>
      </w:pPr>
      <w:r>
        <w:rPr>
          <w:b w:val="false"/>
          <w:bCs w:val="false"/>
        </w:rPr>
        <w:t xml:space="preserve">Continued festive-season momentum, exemplified by Mumbai's 29% September registration surge, is expected to sustain strong registration revenue across major metros through the ongoing festive quarter.</w:t>
      </w:r>
    </w:p>
    <w:p>
      <w:pPr>
        <w:spacing w:after="150"/>
      </w:pPr>
      <w:r>
        <w:rPr>
          <w:i/>
          <w:iCs/>
          <w:color w:val="595959"/>
          <w:sz w:val="18"/>
          <w:szCs w:val="18"/>
        </w:rPr>
        <w:t xml:space="preserve">Sources: Leasewarehouse.in (2026 digital registration mandate); Business Standard.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calls for reduced stamp duty on affordable-home registrations, particularly the proposed women-buyer incentive, as a continuation of broader affordability advocacy.</w:t>
      </w:r>
    </w:p>
    <w:p>
      <w:pPr>
        <w:pStyle w:val="ListParagraph"/>
        <w:numPr>
          <w:ilvl w:val="0"/>
          <w:numId w:val="2"/>
        </w:numPr>
        <w:spacing w:after="80"/>
      </w:pPr>
      <w:r>
        <w:rPr>
          <w:b w:val="false"/>
          <w:bCs w:val="false"/>
        </w:rPr>
        <w:t xml:space="preserve">The nationwide shift to mandatory digital registration in many states is expected to be viewed positively by CREDAI as a step toward reducing documentation friction and registration delays.</w:t>
      </w:r>
    </w:p>
    <w:p>
      <w:pPr>
        <w:pStyle w:val="ListParagraph"/>
        <w:numPr>
          <w:ilvl w:val="0"/>
          <w:numId w:val="2"/>
        </w:numPr>
        <w:spacing w:after="80"/>
      </w:pPr>
      <w:r>
        <w:rPr>
          <w:b w:val="false"/>
          <w:bCs w:val="false"/>
        </w:rPr>
        <w:t xml:space="preserve">Mumbai's strong September registration growth is likely to be cited by CREDAI and NAREDCO as evidence of sustained festive-season momentum heading into the peak Dussehra-Diwali period nationally.</w:t>
      </w:r>
    </w:p>
    <w:p>
      <w:pPr>
        <w:spacing w:after="150"/>
      </w:pPr>
      <w:r>
        <w:rPr>
          <w:i/>
          <w:iCs/>
          <w:color w:val="595959"/>
          <w:sz w:val="18"/>
          <w:szCs w:val="18"/>
        </w:rPr>
        <w:t xml:space="preserve">Sources: Godrej Capital/SquareYards; Business Standard; Leasewarehouse.in.</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2026-10-05T03:37:53.409Z</dcterms:created>
  <dcterms:modified xsi:type="dcterms:W3CDTF">2026-10-05T03:37:53.425Z</dcterms:modified>
</cp:coreProperties>
</file>

<file path=docProps/custom.xml><?xml version="1.0" encoding="utf-8"?>
<Properties xmlns="http://schemas.openxmlformats.org/officeDocument/2006/custom-properties" xmlns:vt="http://schemas.openxmlformats.org/officeDocument/2006/docPropsVTypes"/>
</file>