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Friday, 31 July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 led India's residential market in Q1 2026, accounting for 25% of national new launches (~20,484 units) against sales of 15,340 units in the quarter.</w:t>
      </w:r>
    </w:p>
    <w:p>
      <w:pPr>
        <w:pStyle w:val="ListParagraph"/>
        <w:numPr>
          <w:ilvl w:val="0"/>
          <w:numId w:val="2"/>
        </w:numPr>
        <w:spacing w:after="80"/>
      </w:pPr>
      <w:r>
        <w:rPr>
          <w:b w:val="false"/>
          <w:bCs w:val="false"/>
        </w:rPr>
        <w:t xml:space="preserve">The ₹1–5 crore homes segment saw an 11.2% price increase in Q1 2026, reflecting continued high demand for mid-to-premium housing.</w:t>
      </w:r>
    </w:p>
    <w:p>
      <w:pPr>
        <w:pStyle w:val="ListParagraph"/>
        <w:numPr>
          <w:ilvl w:val="0"/>
          <w:numId w:val="2"/>
        </w:numPr>
        <w:spacing w:after="80"/>
      </w:pPr>
      <w:r>
        <w:rPr>
          <w:b w:val="false"/>
          <w:bCs w:val="false"/>
        </w:rPr>
        <w:t xml:space="preserve">City-wide average apartment rates in Q1 2026 ranged ₹8,000–10,000/sq ft, with growth continuing to be driven by IT expansion, startup culture, GCC hiring, migration and infrastructure development.</w:t>
      </w:r>
    </w:p>
    <w:p>
      <w:pPr>
        <w:spacing w:after="150"/>
      </w:pPr>
      <w:r>
        <w:rPr>
          <w:i/>
          <w:iCs/>
          <w:color w:val="595959"/>
          <w:sz w:val="18"/>
          <w:szCs w:val="18"/>
        </w:rPr>
        <w:t xml:space="preserve">Sources: Godrej Vanantara market update; 99acres; Brigade Group.</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Bengaluru's office market sustained strong momentum in Q2 2026, with 5.6 million sq ft of gross leasing; GCCs accounted for 52% of quarterly leasing, alongside engineering &amp; manufacturing, BFSI and IT-BPM firms.</w:t>
      </w:r>
    </w:p>
    <w:p>
      <w:pPr>
        <w:pStyle w:val="ListParagraph"/>
        <w:numPr>
          <w:ilvl w:val="0"/>
          <w:numId w:val="2"/>
        </w:numPr>
        <w:spacing w:after="80"/>
      </w:pPr>
      <w:r>
        <w:rPr>
          <w:b w:val="false"/>
          <w:bCs w:val="false"/>
        </w:rPr>
        <w:t xml:space="preserve">Continued IT, startup and GCC ecosystem growth remains the primary structural driver of both Bengaluru's commercial leasing and residential demand, per market commentary tracking the city's 2026 growth trajectory.</w:t>
      </w:r>
    </w:p>
    <w:p>
      <w:pPr>
        <w:pStyle w:val="ListParagraph"/>
        <w:numPr>
          <w:ilvl w:val="0"/>
          <w:numId w:val="2"/>
        </w:numPr>
        <w:spacing w:after="80"/>
      </w:pPr>
      <w:r>
        <w:rPr>
          <w:b w:val="false"/>
          <w:bCs w:val="false"/>
        </w:rPr>
        <w:t xml:space="preserve">Bengaluru's brisk commercial leasing activity continues even as the city separately grapples with elevated unsold residential inventory, reflecting a bifurcation between occupier and homebuyer market dynamics.</w:t>
      </w:r>
    </w:p>
    <w:p>
      <w:pPr>
        <w:spacing w:after="150"/>
      </w:pPr>
      <w:r>
        <w:rPr>
          <w:i/>
          <w:iCs/>
          <w:color w:val="595959"/>
          <w:sz w:val="18"/>
          <w:szCs w:val="18"/>
        </w:rPr>
        <w:t xml:space="preserve">Sources: Cushman &amp; Wakefield Bengaluru MarketBeat; Godrej Vanantara market update.</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Bengaluru has written to Karnataka's Revenue Minister Krishna Byre Gowda flagging distress caused by the abrupt mandatory rollout of e-Khata, which led to an application surge and processing overflow for homebuyers and developers.</w:t>
      </w:r>
    </w:p>
    <w:p>
      <w:pPr>
        <w:pStyle w:val="ListParagraph"/>
        <w:numPr>
          <w:ilvl w:val="0"/>
          <w:numId w:val="2"/>
        </w:numPr>
        <w:spacing w:after="80"/>
      </w:pPr>
      <w:r>
        <w:rPr>
          <w:b w:val="false"/>
          <w:bCs w:val="false"/>
        </w:rPr>
        <w:t xml:space="preserve">CREDAI Bengaluru has separately requested reinstatement of the earlier ₹10 lakh cap on stamp duty for title-deed deposit agreements and mortgage deeds.</w:t>
      </w:r>
    </w:p>
    <w:p>
      <w:pPr>
        <w:pStyle w:val="ListParagraph"/>
        <w:numPr>
          <w:ilvl w:val="0"/>
          <w:numId w:val="2"/>
        </w:numPr>
        <w:spacing w:after="80"/>
      </w:pPr>
      <w:r>
        <w:rPr>
          <w:b w:val="false"/>
          <w:bCs w:val="false"/>
        </w:rPr>
        <w:t xml:space="preserve">A CREDAI Bengaluru memorandum to the state government proposes eliminating the commencement-certificate requirement and streamlining the process for obtaining Transferable Development Rights (TDR) utilisation certificates, both flagged as bureaucratic hurdles slowing project approvals.</w:t>
      </w:r>
    </w:p>
    <w:p>
      <w:pPr>
        <w:spacing w:after="150"/>
      </w:pPr>
      <w:r>
        <w:rPr>
          <w:i/>
          <w:iCs/>
          <w:color w:val="595959"/>
          <w:sz w:val="18"/>
          <w:szCs w:val="18"/>
        </w:rPr>
        <w:t xml:space="preserve">Sources: Construction World; The Realty Today; CREDAI Karnataka.</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Hyderabad's average residential rates have risen ~81% between 2019 and 2025 to reach ~₹8,326/sq ft, with buyers increasingly shifting to resale homes over new projects as affordability declines in key areas like Kukatpally and Kondapur.</w:t>
      </w:r>
    </w:p>
    <w:p>
      <w:pPr>
        <w:pStyle w:val="ListParagraph"/>
        <w:numPr>
          <w:ilvl w:val="0"/>
          <w:numId w:val="2"/>
        </w:numPr>
        <w:spacing w:after="80"/>
      </w:pPr>
      <w:r>
        <w:rPr>
          <w:b w:val="false"/>
          <w:bCs w:val="false"/>
        </w:rPr>
        <w:t xml:space="preserve">Hyderabad recorded 9,126 residential launches in Q1 2026, led by the West zone (65% share, anchored by the Financial District and Nanakramguda) and the North zone (19%, anchored by Balanagar).</w:t>
      </w:r>
    </w:p>
    <w:p>
      <w:pPr>
        <w:pStyle w:val="ListParagraph"/>
        <w:numPr>
          <w:ilvl w:val="0"/>
          <w:numId w:val="2"/>
        </w:numPr>
        <w:spacing w:after="80"/>
      </w:pPr>
      <w:r>
        <w:rPr>
          <w:b w:val="false"/>
          <w:bCs w:val="false"/>
        </w:rPr>
        <w:t xml:space="preserve">Chennai's housing sales more than doubled to 7,862 units in the July–September period (from 3,560 a year earlier), while its FY26 ultra-luxury home sales reached ₹727 crore.</w:t>
      </w:r>
    </w:p>
    <w:p>
      <w:pPr>
        <w:spacing w:after="150"/>
      </w:pPr>
      <w:r>
        <w:rPr>
          <w:i/>
          <w:iCs/>
          <w:color w:val="595959"/>
          <w:sz w:val="18"/>
          <w:szCs w:val="18"/>
        </w:rPr>
        <w:t xml:space="preserve">Sources: Sakshi Post; Charan Group; IBEF/Business Standard.</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Streaming giant Netflix has leased 41,000 sq ft at CapitaLand ITPH Block A in HITEC City, Hyderabad — marking its first major operational base in the city and a notable new-economy tenant win for the market.</w:t>
      </w:r>
    </w:p>
    <w:p>
      <w:pPr>
        <w:pStyle w:val="ListParagraph"/>
        <w:numPr>
          <w:ilvl w:val="0"/>
          <w:numId w:val="2"/>
        </w:numPr>
        <w:spacing w:after="80"/>
      </w:pPr>
      <w:r>
        <w:rPr>
          <w:b w:val="false"/>
          <w:bCs w:val="false"/>
        </w:rPr>
        <w:t xml:space="preserve">Hyderabad's office market recorded strong Q1 2026 leasing momentum, with gross leasing volumes reaching ~3.15 million sq ft and large-format deals dominating activity.</w:t>
      </w:r>
    </w:p>
    <w:p>
      <w:pPr>
        <w:pStyle w:val="ListParagraph"/>
        <w:numPr>
          <w:ilvl w:val="0"/>
          <w:numId w:val="2"/>
        </w:numPr>
        <w:spacing w:after="80"/>
      </w:pPr>
      <w:r>
        <w:rPr>
          <w:b w:val="false"/>
          <w:bCs w:val="false"/>
        </w:rPr>
        <w:t xml:space="preserve">Chennai continues to draw large-format industrial, warehousing and GCC-linked office demand, reinforcing its position alongside Hyderabad as a key South Indian commercial hub.</w:t>
      </w:r>
    </w:p>
    <w:p>
      <w:pPr>
        <w:spacing w:after="150"/>
      </w:pPr>
      <w:r>
        <w:rPr>
          <w:i/>
          <w:iCs/>
          <w:color w:val="595959"/>
          <w:sz w:val="18"/>
          <w:szCs w:val="18"/>
        </w:rPr>
        <w:t xml:space="preserve">Sources: Sakshi Post; Business Standard.</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CREDAI's continued push for higher affordable-housing price caps and RERA procedural reforms nationally remains directly relevant to South India's high-growth but increasingly cost-pressured Hyderabad and Chennai markets.</w:t>
      </w:r>
    </w:p>
    <w:p>
      <w:pPr>
        <w:pStyle w:val="ListParagraph"/>
        <w:numPr>
          <w:ilvl w:val="0"/>
          <w:numId w:val="2"/>
        </w:numPr>
        <w:spacing w:after="80"/>
      </w:pPr>
      <w:r>
        <w:rPr>
          <w:b w:val="false"/>
          <w:bCs w:val="false"/>
        </w:rPr>
        <w:t xml:space="preserve">The CREDAI-Liases Foras housing-demand report projects India's housing demand will reach 93 million homes by 2036, with Tier II/III cities — including several across South India — expected to spearhead the next wave of demand and supply.</w:t>
      </w:r>
    </w:p>
    <w:p>
      <w:pPr>
        <w:pStyle w:val="ListParagraph"/>
        <w:numPr>
          <w:ilvl w:val="0"/>
          <w:numId w:val="2"/>
        </w:numPr>
        <w:spacing w:after="80"/>
      </w:pPr>
      <w:r>
        <w:rPr>
          <w:b w:val="false"/>
          <w:bCs w:val="false"/>
        </w:rPr>
        <w:t xml:space="preserve">Hyderabad's shift toward resale homes amid affordability pressure is a trend South Indian RERA authorities and CREDAI chapters are watching closely as a signal for future project-pricing and format decisions.</w:t>
      </w:r>
    </w:p>
    <w:p>
      <w:pPr>
        <w:spacing w:after="150"/>
      </w:pPr>
      <w:r>
        <w:rPr>
          <w:i/>
          <w:iCs/>
          <w:color w:val="595959"/>
          <w:sz w:val="18"/>
          <w:szCs w:val="18"/>
        </w:rPr>
        <w:t xml:space="preserve">Sources: Outlook India Business/CREDAI-Liases Foras; Outlook Money; Sakshi Post.</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A CREDAI-Liases Foras report, launched at the New India Summit in Varanasi, projects India's housing demand will reach 93 million homes by 2036 — an additional 64 million homes needed due to population growth, building on a 2018 base shortage of 29 million homes.</w:t>
      </w:r>
    </w:p>
    <w:p>
      <w:pPr>
        <w:pStyle w:val="ListParagraph"/>
        <w:numPr>
          <w:ilvl w:val="0"/>
          <w:numId w:val="2"/>
        </w:numPr>
        <w:spacing w:after="80"/>
      </w:pPr>
      <w:r>
        <w:rPr>
          <w:b w:val="false"/>
          <w:bCs w:val="false"/>
        </w:rPr>
        <w:t xml:space="preserve">The report highlights that Tier II and Tier III cities are expected to spearhead the next wave of real estate demand and supply growth nationally, alongside continued momentum in established metros like Bengaluru and Hyderabad.</w:t>
      </w:r>
    </w:p>
    <w:p>
      <w:pPr>
        <w:pStyle w:val="ListParagraph"/>
        <w:numPr>
          <w:ilvl w:val="0"/>
          <w:numId w:val="2"/>
        </w:numPr>
        <w:spacing w:after="80"/>
      </w:pPr>
      <w:r>
        <w:rPr>
          <w:b w:val="false"/>
          <w:bCs w:val="false"/>
        </w:rPr>
        <w:t xml:space="preserve">CREDAI has expressed disappointment over the RBI's recent monetary policy stance and has sought interest-rate cuts on home loans to boost housing demand, calling for a pro-growth approach to policy rates.</w:t>
      </w:r>
    </w:p>
    <w:p>
      <w:pPr>
        <w:spacing w:after="150"/>
      </w:pPr>
      <w:r>
        <w:rPr>
          <w:i/>
          <w:iCs/>
          <w:color w:val="595959"/>
          <w:sz w:val="18"/>
          <w:szCs w:val="18"/>
        </w:rPr>
        <w:t xml:space="preserve">Sources: Outlook India Business; Outlook Money; Business Standard.</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New-economy tenants continue to expand their India office footprint, as seen in Netflix's first major Hyderabad lease (41,000 sq ft at CapitaLand ITPH Block A, HITEC City) — a sign of continued diversification beyond traditional GCC and IT-BPM occupiers.</w:t>
      </w:r>
    </w:p>
    <w:p>
      <w:pPr>
        <w:pStyle w:val="ListParagraph"/>
        <w:numPr>
          <w:ilvl w:val="0"/>
          <w:numId w:val="2"/>
        </w:numPr>
        <w:spacing w:after="80"/>
      </w:pPr>
      <w:r>
        <w:rPr>
          <w:b w:val="false"/>
          <w:bCs w:val="false"/>
        </w:rPr>
        <w:t xml:space="preserve">GCC-led office demand remains the dominant national leasing theme, with Bengaluru's 52% GCC share in Q2 2026 consistent with similarly strong GCC contributions in Hyderabad and Chennai.</w:t>
      </w:r>
    </w:p>
    <w:p>
      <w:pPr>
        <w:pStyle w:val="ListParagraph"/>
        <w:numPr>
          <w:ilvl w:val="0"/>
          <w:numId w:val="2"/>
        </w:numPr>
        <w:spacing w:after="80"/>
      </w:pPr>
      <w:r>
        <w:rPr>
          <w:b w:val="false"/>
          <w:bCs w:val="false"/>
        </w:rPr>
        <w:t xml:space="preserve">Large-format office leasing (~3.15 million sq ft in Hyderabad's Q1 2026 alone) continues to underscore the resilience of India's commercial real estate market even amid pockets of residential oversupply.</w:t>
      </w:r>
    </w:p>
    <w:p>
      <w:pPr>
        <w:spacing w:after="150"/>
      </w:pPr>
      <w:r>
        <w:rPr>
          <w:i/>
          <w:iCs/>
          <w:color w:val="595959"/>
          <w:sz w:val="18"/>
          <w:szCs w:val="18"/>
        </w:rPr>
        <w:t xml:space="preserve">Sources: Sakshi Post; Cushman &amp; Wakefield Bengaluru MarketBeat.</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CREDAI's Union Budget 2026-27 submission continues to call for redefining the affordable-housing framework, raising the price cap to ₹90 lakh from ₹45 lakh, rationalising tax deductions and GST rates, and establishing a dedicated rental-housing mission to address urban migration.</w:t>
      </w:r>
    </w:p>
    <w:p>
      <w:pPr>
        <w:pStyle w:val="ListParagraph"/>
        <w:numPr>
          <w:ilvl w:val="0"/>
          <w:numId w:val="2"/>
        </w:numPr>
        <w:spacing w:after="80"/>
      </w:pPr>
      <w:r>
        <w:rPr>
          <w:b w:val="false"/>
          <w:bCs w:val="false"/>
        </w:rPr>
        <w:t xml:space="preserve">RERA's national footprint — 1.55 lakh registered projects and 1.10 lakh developers — continues to be credited with moderating runaway housing prices, curbing speculative practices and restoring consumer trust since 2016.</w:t>
      </w:r>
    </w:p>
    <w:p>
      <w:pPr>
        <w:pStyle w:val="ListParagraph"/>
        <w:numPr>
          <w:ilvl w:val="0"/>
          <w:numId w:val="2"/>
        </w:numPr>
        <w:spacing w:after="80"/>
      </w:pPr>
      <w:r>
        <w:rPr>
          <w:b w:val="false"/>
          <w:bCs w:val="false"/>
        </w:rPr>
        <w:t xml:space="preserve">CREDAI has sought RBI interest-rate cuts to support housing demand, adding a monetary-policy dimension to its ongoing advocacy alongside its structural asks on affordable-housing definitions and RERA procedural reform.</w:t>
      </w:r>
    </w:p>
    <w:p>
      <w:pPr>
        <w:spacing w:after="150"/>
      </w:pPr>
      <w:r>
        <w:rPr>
          <w:i/>
          <w:iCs/>
          <w:color w:val="595959"/>
          <w:sz w:val="18"/>
          <w:szCs w:val="18"/>
        </w:rPr>
        <w:t xml:space="preserve">Sources: CREDAI (credai.org); Business Standard; Deccan Herald.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2026-07-31T03:40:32.014Z</dcterms:created>
  <dcterms:modified xsi:type="dcterms:W3CDTF">2026-07-31T03:40:32.057Z</dcterms:modified>
</cp:coreProperties>
</file>

<file path=docProps/custom.xml><?xml version="1.0" encoding="utf-8"?>
<Properties xmlns="http://schemas.openxmlformats.org/officeDocument/2006/custom-properties" xmlns:vt="http://schemas.openxmlformats.org/officeDocument/2006/docPropsVTypes"/>
</file>