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22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H1 2026 residential sales rose 5% YoY to 27,968 units, with citywide average prices climbing 9% YoY to ₹9,354 per sq ft.</w:t>
      </w:r>
    </w:p>
    <w:p>
      <w:pPr>
        <w:pStyle w:val="ListParagraph"/>
        <w:numPr>
          <w:ilvl w:val="0"/>
          <w:numId w:val="2"/>
        </w:numPr>
        <w:spacing w:after="80"/>
      </w:pPr>
      <w:r>
        <w:rPr>
          <w:b w:val="false"/>
          <w:bCs w:val="false"/>
        </w:rPr>
        <w:t xml:space="preserve">Indiranagar continues to command some of the city's highest per-square-foot prices, delivering steady 6–8% appreciation in 2026 on the back of mature social infrastructure, retail density and strong rental demand from young IT professionals.</w:t>
      </w:r>
    </w:p>
    <w:p>
      <w:pPr>
        <w:pStyle w:val="ListParagraph"/>
        <w:numPr>
          <w:ilvl w:val="0"/>
          <w:numId w:val="2"/>
        </w:numPr>
        <w:spacing w:after="80"/>
      </w:pPr>
      <w:r>
        <w:rPr>
          <w:b w:val="false"/>
          <w:bCs w:val="false"/>
        </w:rPr>
        <w:t xml:space="preserve">Premium, established zones like Indiranagar are increasingly favoured by buyers prioritising long-term capital appreciation and lifestyle prestige over rental yield, even as newer corridors offer higher yields.</w:t>
      </w:r>
    </w:p>
    <w:p>
      <w:pPr>
        <w:spacing w:after="150"/>
      </w:pPr>
      <w:r>
        <w:rPr>
          <w:i/>
          <w:iCs/>
          <w:color w:val="595959"/>
          <w:sz w:val="18"/>
          <w:szCs w:val="18"/>
        </w:rPr>
        <w:t xml:space="preserve">Sources: AllDoors/Cushman &amp; Wakefield (H1 2026 citywide sales, pricing); SquareYards/AurumProptech (Indiranagar appreciation, positioning).</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Indiranagar's retail leasing remained robust in Q2 2026, with main streets commanding a 68% share of the corridor's commercial activity, reinforcing its status as one of Bengaluru's premier retail destinations.</w:t>
      </w:r>
    </w:p>
    <w:p>
      <w:pPr>
        <w:pStyle w:val="ListParagraph"/>
        <w:numPr>
          <w:ilvl w:val="0"/>
          <w:numId w:val="2"/>
        </w:numPr>
        <w:spacing w:after="80"/>
      </w:pPr>
      <w:r>
        <w:rPr>
          <w:b w:val="false"/>
          <w:bCs w:val="false"/>
        </w:rPr>
        <w:t xml:space="preserve">Indiranagar's mature social infrastructure — schools, hospitals, restaurants and metro connectivity — continues to anchor sustained commercial demand even as the corridor's residential growth moderates relative to newer zones.</w:t>
      </w:r>
    </w:p>
    <w:p>
      <w:pPr>
        <w:pStyle w:val="ListParagraph"/>
        <w:numPr>
          <w:ilvl w:val="0"/>
          <w:numId w:val="2"/>
        </w:numPr>
        <w:spacing w:after="80"/>
      </w:pPr>
      <w:r>
        <w:rPr>
          <w:b w:val="false"/>
          <w:bCs w:val="false"/>
        </w:rPr>
        <w:t xml:space="preserve">Bengaluru's citywide 9% YoY price appreciation in H1 2026 reflects continued institutional and end-user confidence across both established corridors like Indiranagar and newer growth zones.</w:t>
      </w:r>
    </w:p>
    <w:p>
      <w:pPr>
        <w:spacing w:after="150"/>
      </w:pPr>
      <w:r>
        <w:rPr>
          <w:i/>
          <w:iCs/>
          <w:color w:val="595959"/>
          <w:sz w:val="18"/>
          <w:szCs w:val="18"/>
        </w:rPr>
        <w:t xml:space="preserve">Sources: AurumProptech (Indiranagar retail leasing); AllDoors/Cushman &amp; Wakefield.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Indiranagar and other established corridors' steady appreciation as evidence of the city's resilient long-term residential fundamentals, even amid softer growth in some newer launch zones.</w:t>
      </w:r>
    </w:p>
    <w:p>
      <w:pPr>
        <w:pStyle w:val="ListParagraph"/>
        <w:numPr>
          <w:ilvl w:val="0"/>
          <w:numId w:val="2"/>
        </w:numPr>
        <w:spacing w:after="80"/>
      </w:pPr>
      <w:r>
        <w:rPr>
          <w:b w:val="false"/>
          <w:bCs w:val="false"/>
        </w:rPr>
        <w:t xml:space="preserve">K-RERA continues to operate with a partially reconstituted bench — following N Jayaram's recent appointment as Member — even as the chairman post remains vacant since H.C. Kishore Chandra's retirement.</w:t>
      </w:r>
    </w:p>
    <w:p>
      <w:pPr>
        <w:pStyle w:val="ListParagraph"/>
        <w:numPr>
          <w:ilvl w:val="0"/>
          <w:numId w:val="2"/>
        </w:numPr>
        <w:spacing w:after="80"/>
      </w:pPr>
      <w:r>
        <w:rPr>
          <w:b w:val="false"/>
          <w:bCs w:val="false"/>
        </w:rPr>
        <w:t xml:space="preserve">CREDAI Karnataka's ongoing premium-FAR and e-Khata advocacy remains relevant to mature, land-constrained corridors like Indiranagar, where redevelopment potential is limited by existing density norms.</w:t>
      </w:r>
    </w:p>
    <w:p>
      <w:pPr>
        <w:spacing w:after="150"/>
      </w:pPr>
      <w:r>
        <w:rPr>
          <w:i/>
          <w:iCs/>
          <w:color w:val="595959"/>
          <w:sz w:val="18"/>
          <w:szCs w:val="18"/>
        </w:rPr>
        <w:t xml:space="preserve">Sources: SquareYards/AurumProptech;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recorded 9,541 residential units sold in Q1 2026 (+1% YoY), with average property prices rising 9% YoY to ₹8,211 per sq ft even as the market grapples with a "high inventory, high prices" paradox.</w:t>
      </w:r>
    </w:p>
    <w:p>
      <w:pPr>
        <w:pStyle w:val="ListParagraph"/>
        <w:numPr>
          <w:ilvl w:val="0"/>
          <w:numId w:val="2"/>
        </w:numPr>
        <w:spacing w:after="80"/>
      </w:pPr>
      <w:r>
        <w:rPr>
          <w:b w:val="false"/>
          <w:bCs w:val="false"/>
        </w:rPr>
        <w:t xml:space="preserve">80% of available apartments in Hyderabad's current market are 3 BHK or larger, averaging 2,050 sq ft with starting prices exceeding ₹1.6 crore, reflecting a decisive shift toward larger, premium unit configurations.</w:t>
      </w:r>
    </w:p>
    <w:p>
      <w:pPr>
        <w:pStyle w:val="ListParagraph"/>
        <w:numPr>
          <w:ilvl w:val="0"/>
          <w:numId w:val="2"/>
        </w:numPr>
        <w:spacing w:after="80"/>
      </w:pPr>
      <w:r>
        <w:rPr>
          <w:b w:val="false"/>
          <w:bCs w:val="false"/>
        </w:rPr>
        <w:t xml:space="preserve">Chennai's housing sales more than doubled to 7,862 units in the July-September period from 3,560 units a year earlier, reinforcing the city's position among South India's fastest-growing residential markets.</w:t>
      </w:r>
    </w:p>
    <w:p>
      <w:pPr>
        <w:spacing w:after="150"/>
      </w:pPr>
      <w:r>
        <w:rPr>
          <w:i/>
          <w:iCs/>
          <w:color w:val="595959"/>
          <w:sz w:val="18"/>
          <w:szCs w:val="18"/>
        </w:rPr>
        <w:t xml:space="preserve">Sources: AP7AM (Hyderabad Q1 2026 sales, pricing, unit-size paradox); Business Standard/PropTiger (Chennai sales growth).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Telangana government has attributed Hyderabad's real estate boom to rapid IT and industrial expansion, investor-friendly policies, and over ₹40,000 crore in infrastructure allocation spanning the Outer Ring Road and Regional Ring Road.</w:t>
      </w:r>
    </w:p>
    <w:p>
      <w:pPr>
        <w:pStyle w:val="ListParagraph"/>
        <w:numPr>
          <w:ilvl w:val="0"/>
          <w:numId w:val="2"/>
        </w:numPr>
        <w:spacing w:after="80"/>
      </w:pPr>
      <w:r>
        <w:rPr>
          <w:b w:val="false"/>
          <w:bCs w:val="false"/>
        </w:rPr>
        <w:t xml:space="preserve">Hyderabad's shift toward larger, premium unit configurations (80% at 3 BHK+) signals continued developer confidence in the city's high-end residential and mixed-use segments despite elevated inventory levels.</w:t>
      </w:r>
    </w:p>
    <w:p>
      <w:pPr>
        <w:pStyle w:val="ListParagraph"/>
        <w:numPr>
          <w:ilvl w:val="0"/>
          <w:numId w:val="2"/>
        </w:numPr>
        <w:spacing w:after="80"/>
      </w:pPr>
      <w:r>
        <w:rPr>
          <w:b w:val="false"/>
          <w:bCs w:val="false"/>
        </w:rPr>
        <w:t xml:space="preserve">Chennai's continued residential sales momentum supports ongoing commercial and retail spillover demand in the city's fastest-growing corridors.</w:t>
      </w:r>
    </w:p>
    <w:p>
      <w:pPr>
        <w:spacing w:after="150"/>
      </w:pPr>
      <w:r>
        <w:rPr>
          <w:i/>
          <w:iCs/>
          <w:color w:val="595959"/>
          <w:sz w:val="18"/>
          <w:szCs w:val="18"/>
        </w:rPr>
        <w:t xml:space="preserve">Sources: AP7AM (Telangana infrastructure allocation, ORR/RRR); Business Standard/PropTiger.</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Hyderabad's high-inventory, high-price paradox is prompting renewed CREDAI Telangana discussion on aligning new launches more closely with genuine end-user affordability, even as premium segment sales remain resilient.</w:t>
      </w:r>
    </w:p>
    <w:p>
      <w:pPr>
        <w:pStyle w:val="ListParagraph"/>
        <w:numPr>
          <w:ilvl w:val="0"/>
          <w:numId w:val="2"/>
        </w:numPr>
        <w:spacing w:after="80"/>
      </w:pPr>
      <w:r>
        <w:rPr>
          <w:b w:val="false"/>
          <w:bCs w:val="false"/>
        </w:rPr>
        <w:t xml:space="preserve">South Indian CREDAI chapters continue to track Karnataka's K-RERA reconstitution and Chennai's CMDA streamlining as reference points for their own regulatory engagement with state governments.</w:t>
      </w:r>
    </w:p>
    <w:p>
      <w:pPr>
        <w:spacing w:after="150"/>
      </w:pPr>
      <w:r>
        <w:rPr>
          <w:i/>
          <w:iCs/>
          <w:color w:val="595959"/>
          <w:sz w:val="18"/>
          <w:szCs w:val="18"/>
        </w:rPr>
        <w:t xml:space="preserve">Sources: Business Standard (MoHUA advisory); AP7AM;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CREDAI has submitted its Union Budget 2026-27 recommendations, calling for the affordable-housing price cap to be raised from ₹45 lakh to ₹90 lakh to reflect current construction costs and broaden the segment's eligibility nationally.</w:t>
      </w:r>
    </w:p>
    <w:p>
      <w:pPr>
        <w:pStyle w:val="ListParagraph"/>
        <w:numPr>
          <w:ilvl w:val="0"/>
          <w:numId w:val="2"/>
        </w:numPr>
        <w:spacing w:after="80"/>
      </w:pPr>
      <w:r>
        <w:rPr>
          <w:b w:val="false"/>
          <w:bCs w:val="false"/>
        </w:rPr>
        <w:t xml:space="preserve">CREDAI has also proposed a National Rental Housing Mission to develop large-scale affordable rental stock in Tier-1 and Tier-2 cities through fiscal incentives for developers, tax relief for tenants, and institutional participation.</w:t>
      </w:r>
    </w:p>
    <w:p>
      <w:pPr>
        <w:pStyle w:val="ListParagraph"/>
        <w:numPr>
          <w:ilvl w:val="0"/>
          <w:numId w:val="2"/>
        </w:numPr>
        <w:spacing w:after="80"/>
      </w:pPr>
      <w:r>
        <w:rPr>
          <w:b w:val="false"/>
          <w:bCs w:val="false"/>
        </w:rPr>
        <w:t xml:space="preserve">Hyderabad's shift toward larger, premium configurations (80% at 3 BHK+, ₹8,211/sq ft) and Bengaluru's 9% YoY price growth together illustrate the premiumisation trend now visible across India's major residential markets.</w:t>
      </w:r>
    </w:p>
    <w:p>
      <w:pPr>
        <w:spacing w:after="150"/>
      </w:pPr>
      <w:r>
        <w:rPr>
          <w:i/>
          <w:iCs/>
          <w:color w:val="595959"/>
          <w:sz w:val="18"/>
          <w:szCs w:val="18"/>
        </w:rPr>
        <w:t xml:space="preserve">Sources: CREDAI/SKJ Landbase (Budget 2026-27 recommendations, National Rental Housing Mission); AP7AM; AllDoors/Cushman &amp; Wakefield.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CREDAI's NATCON 2026 is positioned as a premier national platform for dialogue on sustainability, technological innovation and progressive policy frameworks shaping the real estate sector's next growth phase.</w:t>
      </w:r>
    </w:p>
    <w:p>
      <w:pPr>
        <w:pStyle w:val="ListParagraph"/>
        <w:numPr>
          <w:ilvl w:val="0"/>
          <w:numId w:val="2"/>
        </w:numPr>
        <w:spacing w:after="80"/>
      </w:pPr>
      <w:r>
        <w:rPr>
          <w:b w:val="false"/>
          <w:bCs w:val="false"/>
        </w:rPr>
        <w:t xml:space="preserve">Telangana's ₹40,000 crore infrastructure allocation (ORR, Regional Ring Road) and Bengaluru's continued institutional confidence together reflect sustained national capital commitment to transit-linked commercial and residential growth.</w:t>
      </w:r>
    </w:p>
    <w:p>
      <w:pPr>
        <w:pStyle w:val="ListParagraph"/>
        <w:numPr>
          <w:ilvl w:val="0"/>
          <w:numId w:val="2"/>
        </w:numPr>
        <w:spacing w:after="80"/>
      </w:pPr>
      <w:r>
        <w:rPr>
          <w:b w:val="false"/>
          <w:bCs w:val="false"/>
        </w:rPr>
        <w:t xml:space="preserve">CREDAI Pune's 24th Property Expo 2026 — featuring 80+ member developers and 400+ RERA-registered projects — illustrates the continued scale of organised, RERA-compliant developer activity across India's Tier-1 markets.</w:t>
      </w:r>
    </w:p>
    <w:p>
      <w:pPr>
        <w:spacing w:after="150"/>
      </w:pPr>
      <w:r>
        <w:rPr>
          <w:i/>
          <w:iCs/>
          <w:color w:val="595959"/>
          <w:sz w:val="18"/>
          <w:szCs w:val="18"/>
        </w:rPr>
        <w:t xml:space="preserve">Sources: CREDAI (NATCON 2026); AP7AM; ConstructionWeekOnline (CREDAI Pune Property Expo).</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Budget 2026-27 recommendations — raising the affordable-housing cap to ₹90 lakh and proposing a National Rental Housing Mission — represent the sector's most significant national policy ask so far this year.</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Karnataka's gradual K-RERA reconstitution and Tamil Nadu's CMDA streamlining continue to illustrate uneven but active governance modernisation across state real estate regulators as CREDAI pursues its national policy agenda.</w:t>
      </w:r>
    </w:p>
    <w:p>
      <w:pPr>
        <w:spacing w:after="150"/>
      </w:pPr>
      <w:r>
        <w:rPr>
          <w:i/>
          <w:iCs/>
          <w:color w:val="595959"/>
          <w:sz w:val="18"/>
          <w:szCs w:val="18"/>
        </w:rPr>
        <w:t xml:space="preserve">Sources: CREDAI/SKJ Landbase; Business Standard; Deccan Herald.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2026-08-22T03:41:27.028Z</dcterms:created>
  <dcterms:modified xsi:type="dcterms:W3CDTF">2026-08-22T03:41:27.040Z</dcterms:modified>
</cp:coreProperties>
</file>

<file path=docProps/custom.xml><?xml version="1.0" encoding="utf-8"?>
<Properties xmlns="http://schemas.openxmlformats.org/officeDocument/2006/custom-properties" xmlns:vt="http://schemas.openxmlformats.org/officeDocument/2006/docPropsVTypes"/>
</file>