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28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Sarjapur Road property prices range ₹7,225–19,450 per sq ft as of Q1 2026 (average ₹12,000/sq ft), with sub-zones varying sharply — Carmelaram commands ₹12,000–16,000/sq ft, Gunjur ₹8,500–12,500/sq ft, and Dommasandra a more affordable ₹8,000–11,000/sq ft.</w:t>
      </w:r>
    </w:p>
    <w:p>
      <w:pPr>
        <w:pStyle w:val="ListParagraph"/>
        <w:numPr>
          <w:ilvl w:val="0"/>
          <w:numId w:val="2"/>
        </w:numPr>
        <w:spacing w:after="80"/>
      </w:pPr>
      <w:r>
        <w:rPr>
          <w:b w:val="false"/>
          <w:bCs w:val="false"/>
        </w:rPr>
        <w:t xml:space="preserve">Puravankara, the Bengaluru-based developer, reported a 28% YoY rise in Q1 sales bookings to ₹1,439 crore, with collections up 40% and average price realisation up 18%.</w:t>
      </w:r>
    </w:p>
    <w:p>
      <w:pPr>
        <w:pStyle w:val="ListParagraph"/>
        <w:numPr>
          <w:ilvl w:val="0"/>
          <w:numId w:val="2"/>
        </w:numPr>
        <w:spacing w:after="80"/>
      </w:pPr>
      <w:r>
        <w:rPr>
          <w:b w:val="false"/>
          <w:bCs w:val="false"/>
        </w:rPr>
        <w:t xml:space="preserve">The upcoming Metro Phase II (Blue Line) connecting Central Silk Board to Carmelaram is expected to dramatically boost Sarjapur Road's accessibility, with formal metro-station announcements typically triggering an immediate 8–15% sentiment premium in properties within 1–2 km.</w:t>
      </w:r>
    </w:p>
    <w:p>
      <w:pPr>
        <w:spacing w:after="150"/>
      </w:pPr>
      <w:r>
        <w:rPr>
          <w:i/>
          <w:iCs/>
          <w:color w:val="595959"/>
          <w:sz w:val="18"/>
          <w:szCs w:val="18"/>
        </w:rPr>
        <w:t xml:space="preserve">Sources: JLL Homes/AllDoors (Sarjapur Road pricing, sub-zone breakdown); Business Standard (Puravankara Q1 results); JLLHomes (Metro Phase II, sentiment premium).</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Sarjapur Road remains among Bengaluru's most active retail corridors, with main streets accounting for 68% of retail leasing activity in Q2 2026.</w:t>
      </w:r>
    </w:p>
    <w:p>
      <w:pPr>
        <w:pStyle w:val="ListParagraph"/>
        <w:numPr>
          <w:ilvl w:val="0"/>
          <w:numId w:val="2"/>
        </w:numPr>
        <w:spacing w:after="80"/>
      </w:pPr>
      <w:r>
        <w:rPr>
          <w:b w:val="false"/>
          <w:bCs w:val="false"/>
        </w:rPr>
        <w:t xml:space="preserve">Gross rental yields along Sarjapur Road in 2026 typically range 3.5–5.5%, with metro-anchored 2 BHK and compact 3 BHK units delivering the strongest yields at 4.5–5.5%.</w:t>
      </w:r>
    </w:p>
    <w:p>
      <w:pPr>
        <w:pStyle w:val="ListParagraph"/>
        <w:numPr>
          <w:ilvl w:val="0"/>
          <w:numId w:val="2"/>
        </w:numPr>
        <w:spacing w:after="80"/>
      </w:pPr>
      <w:r>
        <w:rPr>
          <w:b w:val="false"/>
          <w:bCs w:val="false"/>
        </w:rPr>
        <w:t xml:space="preserve">The Central Government's approval of Namma Metro Phase 3A is expected before end-2026, a milestone likely to further accelerate commercial and residential interest along under-construction corridors including Sarjapur Road.</w:t>
      </w:r>
    </w:p>
    <w:p>
      <w:pPr>
        <w:spacing w:after="150"/>
      </w:pPr>
      <w:r>
        <w:rPr>
          <w:i/>
          <w:iCs/>
          <w:color w:val="595959"/>
          <w:sz w:val="18"/>
          <w:szCs w:val="18"/>
        </w:rPr>
        <w:t xml:space="preserve">Sources: Cushman &amp; Wakefield Bengaluru MarketBeat (retail leasing); Abheeventures (Sarjapur Road rental yields); JLLHomes (Namma Metro Phase 3A).</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Sarjapur Road's sub-zone price divergence (Carmelaram vs Gunjur vs Dommasandra) as a case study in how metro-linked corridors are reshaping value across the city's peripheral markets.</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pStyle w:val="ListParagraph"/>
        <w:numPr>
          <w:ilvl w:val="0"/>
          <w:numId w:val="2"/>
        </w:numPr>
        <w:spacing w:after="80"/>
      </w:pPr>
      <w:r>
        <w:rPr>
          <w:b w:val="false"/>
          <w:bCs w:val="false"/>
        </w:rPr>
        <w:t xml:space="preserve">Puravankara's strong Q1 collections growth (+40% YoY) offers CREDAI Karnataka further evidence of resilient underlying demand in Bengaluru even amid broader national premiumisation and affordability debates.</w:t>
      </w:r>
    </w:p>
    <w:p>
      <w:pPr>
        <w:spacing w:after="150"/>
      </w:pPr>
      <w:r>
        <w:rPr>
          <w:i/>
          <w:iCs/>
          <w:color w:val="595959"/>
          <w:sz w:val="18"/>
          <w:szCs w:val="18"/>
        </w:rPr>
        <w:t xml:space="preserve">Sources: JLLHomes/Abheeventures; Deccan Herald (K-RERA bench composition); Business Standard (Puravankara Q1 results).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CREDAI Hyderabad Property Show 2026 opened today (28 August) at HITEX, running through 30 August, bringing together 65 developers and 300+ projects under the theme "Rates Won't Stop, Demand Won't Drop."</w:t>
      </w:r>
    </w:p>
    <w:p>
      <w:pPr>
        <w:pStyle w:val="ListParagraph"/>
        <w:numPr>
          <w:ilvl w:val="0"/>
          <w:numId w:val="2"/>
        </w:numPr>
        <w:spacing w:after="80"/>
      </w:pPr>
      <w:r>
        <w:rPr>
          <w:b w:val="false"/>
          <w:bCs w:val="false"/>
        </w:rPr>
        <w:t xml:space="preserve">Tamil Nadu is considering a significant revision to land guideline values across urban and rural areas, a move first reported on 8 August 2026 that would raise property registration costs for Chennai and statewide buyers.</w:t>
      </w:r>
    </w:p>
    <w:p>
      <w:pPr>
        <w:pStyle w:val="ListParagraph"/>
        <w:numPr>
          <w:ilvl w:val="0"/>
          <w:numId w:val="2"/>
        </w:numPr>
        <w:spacing w:after="80"/>
      </w:pPr>
      <w:r>
        <w:rPr>
          <w:b w:val="false"/>
          <w:bCs w:val="false"/>
        </w:rPr>
        <w:t xml:space="preserve">Hyderabad continues to lead South India in transaction volumes due to relatively larger home sizes and competitive pricing, even as the Telangana government advances its ₹4 lakh crore Hyderabad mobility plan through 2050.</w:t>
      </w:r>
    </w:p>
    <w:p>
      <w:pPr>
        <w:spacing w:after="150"/>
      </w:pPr>
      <w:r>
        <w:rPr>
          <w:i/>
          <w:iCs/>
          <w:color w:val="595959"/>
          <w:sz w:val="18"/>
          <w:szCs w:val="18"/>
        </w:rPr>
        <w:t xml:space="preserve">Sources: Telugu Times (CREDAI Hyderabad Property Show, opening day details); Tamil Oneindia/PropNewz (TN guideline value revision); Charan Group Updates (Hyderabad transaction volumes, mobility plan).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CREDAI Hyderabad's Property Show 2026 will connect prospective buyers directly with developers and leading financial institutions for on-site financing and project clarity across residential and commercial segments.</w:t>
      </w:r>
    </w:p>
    <w:p>
      <w:pPr>
        <w:pStyle w:val="ListParagraph"/>
        <w:numPr>
          <w:ilvl w:val="0"/>
          <w:numId w:val="2"/>
        </w:numPr>
        <w:spacing w:after="80"/>
      </w:pPr>
      <w:r>
        <w:rPr>
          <w:b w:val="false"/>
          <w:bCs w:val="false"/>
        </w:rPr>
        <w:t xml:space="preserve">Chennai's current property transaction cost stack stands at 11% (7% stamp duty plus 4% registration fee) on the higher of guideline value or actual sale price — a cost base set to rise further if Tamil Nadu's proposed guideline-value revision is notified.</w:t>
      </w:r>
    </w:p>
    <w:p>
      <w:pPr>
        <w:pStyle w:val="ListParagraph"/>
        <w:numPr>
          <w:ilvl w:val="0"/>
          <w:numId w:val="2"/>
        </w:numPr>
        <w:spacing w:after="80"/>
      </w:pPr>
      <w:r>
        <w:rPr>
          <w:b w:val="false"/>
          <w:bCs w:val="false"/>
        </w:rPr>
        <w:t xml:space="preserve">Telangana's continued mobility investment (₹4 lakh crore through 2050, spanning metro rail, roads and BRTS) continues to underpin long-term commercial and industrial growth corridors around Hyderabad.</w:t>
      </w:r>
    </w:p>
    <w:p>
      <w:pPr>
        <w:spacing w:after="150"/>
      </w:pPr>
      <w:r>
        <w:rPr>
          <w:i/>
          <w:iCs/>
          <w:color w:val="595959"/>
          <w:sz w:val="18"/>
          <w:szCs w:val="18"/>
        </w:rPr>
        <w:t xml:space="preserve">Sources: Telugu Times (CREDAI Hyderabad Property Show); SquareYards/ClearTax (Chennai stamp duty/registration stack); Charan Group Updates.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Property Show 2026, now underway at HITEX, is explicitly positioned around the theme "Rates Won't Stop, Demand Won't Drop" to counter buyer hesitancy amid the city's ongoing HYDRAA-Section 22A disruption.</w:t>
      </w:r>
    </w:p>
    <w:p>
      <w:pPr>
        <w:pStyle w:val="ListParagraph"/>
        <w:numPr>
          <w:ilvl w:val="0"/>
          <w:numId w:val="2"/>
        </w:numPr>
        <w:spacing w:after="80"/>
      </w:pPr>
      <w:r>
        <w:rPr>
          <w:b w:val="false"/>
          <w:bCs w:val="false"/>
        </w:rPr>
        <w:t xml:space="preserve">Tamil Nadu's proposed guideline-value hike adds a fresh regulatory-cost dimension for CREDAI Tamil Nadu to navigate, alongside the state's newly announced GCC-FSI incentive programme for Chennai's OMR corridor.</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spacing w:after="150"/>
      </w:pPr>
      <w:r>
        <w:rPr>
          <w:i/>
          <w:iCs/>
          <w:color w:val="595959"/>
          <w:sz w:val="18"/>
          <w:szCs w:val="18"/>
        </w:rPr>
        <w:t xml:space="preserve">Sources: Telugu Times; Tamil Oneindia/PropNewz; Business Standard (MoHUA advisory).</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top 11 listed developers are targeting ₹1.8 lakh crore in pre-sales for FY27, defying global headwinds with steady end-user demand and aggressive launch pipelines.</w:t>
      </w:r>
    </w:p>
    <w:p>
      <w:pPr>
        <w:pStyle w:val="ListParagraph"/>
        <w:numPr>
          <w:ilvl w:val="0"/>
          <w:numId w:val="2"/>
        </w:numPr>
        <w:spacing w:after="80"/>
      </w:pPr>
      <w:r>
        <w:rPr>
          <w:b w:val="false"/>
          <w:bCs w:val="false"/>
        </w:rPr>
        <w:t xml:space="preserve">Lodha Developers posted Q1 revenue growth of 23% to ₹34.9 billion and net income growth of 42% to ₹6.75 billion, though EPS missed analyst estimates by 20%.</w:t>
      </w:r>
    </w:p>
    <w:p>
      <w:pPr>
        <w:pStyle w:val="ListParagraph"/>
        <w:numPr>
          <w:ilvl w:val="0"/>
          <w:numId w:val="2"/>
        </w:numPr>
        <w:spacing w:after="80"/>
      </w:pPr>
      <w:r>
        <w:rPr>
          <w:b w:val="false"/>
          <w:bCs w:val="false"/>
        </w:rPr>
        <w:t xml:space="preserve">Puravankara's 28% YoY rise in Q1 sales bookings (₹1,439 crore) and 18% increase in average price realisation reflect the broader premiumisation trend visible across India's top listed developers this earnings season.</w:t>
      </w:r>
    </w:p>
    <w:p>
      <w:pPr>
        <w:spacing w:after="150"/>
      </w:pPr>
      <w:r>
        <w:rPr>
          <w:i/>
          <w:iCs/>
          <w:color w:val="595959"/>
          <w:sz w:val="18"/>
          <w:szCs w:val="18"/>
        </w:rPr>
        <w:t xml:space="preserve">Sources: The Realty Today (Top 11 developers, FY27 pre-sales target); SimplyWallSt (Lodha Q1 results); Business Standard (Puravankara Q1 results).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NCR prices rose approximately 13% YoY in the April-June quarter, the steepest among India's top seven cities, even as new launches nationally dropped roughly 40% YoY in the same quarter — a supply pullback keeping prices firm despite cooling sales.</w:t>
      </w:r>
    </w:p>
    <w:p>
      <w:pPr>
        <w:pStyle w:val="ListParagraph"/>
        <w:numPr>
          <w:ilvl w:val="0"/>
          <w:numId w:val="2"/>
        </w:numPr>
        <w:spacing w:after="80"/>
      </w:pPr>
      <w:r>
        <w:rPr>
          <w:b w:val="false"/>
          <w:bCs w:val="false"/>
        </w:rPr>
        <w:t xml:space="preserve">CREDAI Hyderabad's Property Show 2026 (65 developers, 300+ projects) illustrates continued organised developer activity nationally even as individual markets navigate distinct local challenges.</w:t>
      </w:r>
    </w:p>
    <w:p>
      <w:pPr>
        <w:pStyle w:val="ListParagraph"/>
        <w:numPr>
          <w:ilvl w:val="0"/>
          <w:numId w:val="2"/>
        </w:numPr>
        <w:spacing w:after="80"/>
      </w:pPr>
      <w:r>
        <w:rPr>
          <w:b w:val="false"/>
          <w:bCs w:val="false"/>
        </w:rPr>
        <w:t xml:space="preserve">Tamil Nadu's proposed guideline-value hike and Karnataka's pending statewide revision together signal a broader national trend of states recalibrating property valuations upward as transaction volumes and prices rise.</w:t>
      </w:r>
    </w:p>
    <w:p>
      <w:pPr>
        <w:spacing w:after="150"/>
      </w:pPr>
      <w:r>
        <w:rPr>
          <w:i/>
          <w:iCs/>
          <w:color w:val="595959"/>
          <w:sz w:val="18"/>
          <w:szCs w:val="18"/>
        </w:rPr>
        <w:t xml:space="preserve">Sources: Business Standard (NCR pricing, national launch decline); Telugu Times; Tamil Oneindia/PropNewz.</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CREDAI Hyderabad's Property Show 2026, now underway, reflects the sector's broader national push to sustain buyer confidence through direct developer-buyer-financier engagement amid a maturing, premiumisation-led sales cycle.</w:t>
      </w:r>
    </w:p>
    <w:p>
      <w:pPr>
        <w:pStyle w:val="ListParagraph"/>
        <w:numPr>
          <w:ilvl w:val="0"/>
          <w:numId w:val="2"/>
        </w:numPr>
        <w:spacing w:after="80"/>
      </w:pPr>
      <w:r>
        <w:rPr>
          <w:b w:val="false"/>
          <w:bCs w:val="false"/>
        </w:rPr>
        <w:t xml:space="preserve">State-level guideline/guidance-value revisions in Tamil Nadu and Karnataka, alongside Telangana's HYDRAA-Section 22A disruption, continue to illustrate the uneven but active pace of real estate governance recalibration nationally this month.</w:t>
      </w:r>
    </w:p>
    <w:p>
      <w:pPr>
        <w:spacing w:after="150"/>
      </w:pPr>
      <w:r>
        <w:rPr>
          <w:i/>
          <w:iCs/>
          <w:color w:val="595959"/>
          <w:sz w:val="18"/>
          <w:szCs w:val="18"/>
        </w:rPr>
        <w:t xml:space="preserve">Sources: Business Standard; Telugu Times; Tamil Oneindia/PropNewz;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2026-08-28T03:42:09.984Z</dcterms:created>
  <dcterms:modified xsi:type="dcterms:W3CDTF">2026-08-28T03:42:09.998Z</dcterms:modified>
</cp:coreProperties>
</file>

<file path=docProps/custom.xml><?xml version="1.0" encoding="utf-8"?>
<Properties xmlns="http://schemas.openxmlformats.org/officeDocument/2006/custom-properties" xmlns:vt="http://schemas.openxmlformats.org/officeDocument/2006/docPropsVTypes"/>
</file>