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13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East Bengaluru accounted for 57% of all new residential launches in Q1 2026, led by Whitefield, Gunjur, Budigere Cross and Hoskote, reinforcing the corridor's status as the city's most active launch zone.</w:t>
      </w:r>
    </w:p>
    <w:p>
      <w:pPr>
        <w:pStyle w:val="ListParagraph"/>
        <w:numPr>
          <w:ilvl w:val="0"/>
          <w:numId w:val="2"/>
        </w:numPr>
        <w:spacing w:after="80"/>
      </w:pPr>
      <w:r>
        <w:rPr>
          <w:b w:val="false"/>
          <w:bCs w:val="false"/>
        </w:rPr>
        <w:t xml:space="preserve">Bengaluru posted 27,055 residential launches in Q1 2026, up 32% YoY — the strongest performance among India's major cities even as several peer cities saw launch activity decline.</w:t>
      </w:r>
    </w:p>
    <w:p>
      <w:pPr>
        <w:pStyle w:val="ListParagraph"/>
        <w:numPr>
          <w:ilvl w:val="0"/>
          <w:numId w:val="2"/>
        </w:numPr>
        <w:spacing w:after="80"/>
      </w:pPr>
      <w:r>
        <w:rPr>
          <w:b w:val="false"/>
          <w:bCs w:val="false"/>
        </w:rPr>
        <w:t xml:space="preserve">Sarjapur Road has delivered 89% price appreciation over three years, with the broader Whitefield-Sarjapur corridor's IT-employer density (250+ companies, 150,000+ professionals including Wipro, SAP Labs, Oracle, Dell, Cognizant, TCS and Accenture) continuing to anchor residential demand.</w:t>
      </w:r>
    </w:p>
    <w:p>
      <w:pPr>
        <w:spacing w:after="150"/>
      </w:pPr>
      <w:r>
        <w:rPr>
          <w:i/>
          <w:iCs/>
          <w:color w:val="595959"/>
          <w:sz w:val="18"/>
          <w:szCs w:val="18"/>
        </w:rPr>
        <w:t xml:space="preserve">Sources: Puravankara/Abhee Ventures (East Bengaluru launch share, Q1 2026); The Week (Q1 2026 city-wise launches); RealtyPromoo/OneCityProperty (Whitefield-Sarjapur corridor).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recorded 13.1 million sq ft of gross office absorption in H1 2026, retaining its position as India's leading office market, with GCCs accounting for nearly 65% of overall leasing activity.</w:t>
      </w:r>
    </w:p>
    <w:p>
      <w:pPr>
        <w:pStyle w:val="ListParagraph"/>
        <w:numPr>
          <w:ilvl w:val="0"/>
          <w:numId w:val="2"/>
        </w:numPr>
        <w:spacing w:after="80"/>
      </w:pPr>
      <w:r>
        <w:rPr>
          <w:b w:val="false"/>
          <w:bCs w:val="false"/>
        </w:rPr>
        <w:t xml:space="preserve">Bengaluru led India in large-format office transactions (spaces above 100,000 sq ft) at 10.1 million sq ft in H1 2026, ahead of Hyderabad and NCR, which each recorded 4.9 million sq ft.</w:t>
      </w:r>
    </w:p>
    <w:p>
      <w:pPr>
        <w:pStyle w:val="ListParagraph"/>
        <w:numPr>
          <w:ilvl w:val="0"/>
          <w:numId w:val="2"/>
        </w:numPr>
        <w:spacing w:after="80"/>
      </w:pPr>
      <w:r>
        <w:rPr>
          <w:b w:val="false"/>
          <w:bCs w:val="false"/>
        </w:rPr>
        <w:t xml:space="preserve">Flexible-workspace operator FM signed a 220,000 sq ft office lease at the Bhartiya Centre of Information Technology, one of several large transactions underscoring continued occupier confidence in the city.</w:t>
      </w:r>
    </w:p>
    <w:p>
      <w:pPr>
        <w:spacing w:after="150"/>
      </w:pPr>
      <w:r>
        <w:rPr>
          <w:i/>
          <w:iCs/>
          <w:color w:val="595959"/>
          <w:sz w:val="18"/>
          <w:szCs w:val="18"/>
        </w:rPr>
        <w:t xml:space="preserve">Sources: Business Standard/CBRE (H1 2026 large-format leasing); NewsFirstPrime (Bengaluru gross absorption, GCC share); Constrofacilitator (FM–Bhartiya lease).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Karnataka's RERA circulars continue to guide developer compliance across the state, with the chapter maintaining an active advisory role on registration and regulatory matters alongside its ongoing e-Khata and Land Reforms Act advocacy.</w:t>
      </w:r>
    </w:p>
    <w:p>
      <w:pPr>
        <w:pStyle w:val="ListParagraph"/>
        <w:numPr>
          <w:ilvl w:val="0"/>
          <w:numId w:val="2"/>
        </w:numPr>
        <w:spacing w:after="80"/>
      </w:pPr>
      <w:r>
        <w:rPr>
          <w:b w:val="false"/>
          <w:bCs w:val="false"/>
        </w:rPr>
        <w:t xml:space="preserve">K-RERA continues to operate without a permanent chairman following H.C. Kishore Chandra's retirement, with developers and homebuyers alike awaiting clarity on the state government's succession timeline.</w:t>
      </w:r>
    </w:p>
    <w:p>
      <w:pPr>
        <w:pStyle w:val="ListParagraph"/>
        <w:numPr>
          <w:ilvl w:val="0"/>
          <w:numId w:val="2"/>
        </w:numPr>
        <w:spacing w:after="80"/>
      </w:pPr>
      <w:r>
        <w:rPr>
          <w:b w:val="false"/>
          <w:bCs w:val="false"/>
        </w:rPr>
        <w:t xml:space="preserve">East Bengaluru's outsized share of new launches (57% of Q1 2026 supply) is placing renewed scrutiny on K-RERA's project-registration workload in the corridor, even as the regulator's leadership transition remains pending.</w:t>
      </w:r>
    </w:p>
    <w:p>
      <w:pPr>
        <w:spacing w:after="150"/>
      </w:pPr>
      <w:r>
        <w:rPr>
          <w:i/>
          <w:iCs/>
          <w:color w:val="595959"/>
          <w:sz w:val="18"/>
          <w:szCs w:val="18"/>
        </w:rPr>
        <w:t xml:space="preserve">Sources: CREDAI Karnataka (RERA circulars); Deccan Herald (K-RERA chairman vacancy); Puravankara/Abhee Ventures.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posted the sharpest single-quarter launch decline of any major Indian city in Q1 2026, down 46% YoY to just 9,700 units from 17,874 units a year earlier, with zero new launches recorded in March.</w:t>
      </w:r>
    </w:p>
    <w:p>
      <w:pPr>
        <w:pStyle w:val="ListParagraph"/>
        <w:numPr>
          <w:ilvl w:val="0"/>
          <w:numId w:val="2"/>
        </w:numPr>
        <w:spacing w:after="80"/>
      </w:pPr>
      <w:r>
        <w:rPr>
          <w:b w:val="false"/>
          <w:bCs w:val="false"/>
        </w:rPr>
        <w:t xml:space="preserve">Just three projects — led by the 52.87-acre My Home Udyan township in Tellapur (3,343 units) — accounted for 75% of Hyderabad's entire Q1 2026 supply, highlighting extreme launch concentration in the city this quarter.</w:t>
      </w:r>
    </w:p>
    <w:p>
      <w:pPr>
        <w:pStyle w:val="ListParagraph"/>
        <w:numPr>
          <w:ilvl w:val="0"/>
          <w:numId w:val="2"/>
        </w:numPr>
        <w:spacing w:after="80"/>
      </w:pPr>
      <w:r>
        <w:rPr>
          <w:b w:val="false"/>
          <w:bCs w:val="false"/>
        </w:rPr>
        <w:t xml:space="preserve">Even as launch volumes fell, Hyderabad is emerging as a new hub for India's luxury housing market, with premium western-zone apartments now commanding ₹9,000–15,000 per sq ft and villas fetching ₹11,000–20,000 per sq ft.</w:t>
      </w:r>
    </w:p>
    <w:p>
      <w:pPr>
        <w:spacing w:after="150"/>
      </w:pPr>
      <w:r>
        <w:rPr>
          <w:i/>
          <w:iCs/>
          <w:color w:val="595959"/>
          <w:sz w:val="18"/>
          <w:szCs w:val="18"/>
        </w:rPr>
        <w:t xml:space="preserve">Sources: The Week (Q1 2026 city-wise launch data); Outlook Money (Hyderabad luxury housing hub); SquareYards (Hyderabad price zones).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 tied with NCR for India's second-largest large-format office leasing market in H1 2026, each recording 4.9 million sq ft of transactions above 100,000 sq ft, behind only Bengaluru.</w:t>
      </w:r>
    </w:p>
    <w:p>
      <w:pPr>
        <w:pStyle w:val="ListParagraph"/>
        <w:numPr>
          <w:ilvl w:val="0"/>
          <w:numId w:val="2"/>
        </w:numPr>
        <w:spacing w:after="80"/>
      </w:pPr>
      <w:r>
        <w:rPr>
          <w:b w:val="false"/>
          <w:bCs w:val="false"/>
        </w:rPr>
        <w:t xml:space="preserve">Chennai continues to offer relatively affordable entry pricing versus peer metros, with average property rates of ₹7,225 per sq ft — below both Hyderabad (₹7,412) and Bengaluru (₹7,881) on a comparable basis.</w:t>
      </w:r>
    </w:p>
    <w:p>
      <w:pPr>
        <w:pStyle w:val="ListParagraph"/>
        <w:numPr>
          <w:ilvl w:val="0"/>
          <w:numId w:val="2"/>
        </w:numPr>
        <w:spacing w:after="80"/>
      </w:pPr>
      <w:r>
        <w:rPr>
          <w:b w:val="false"/>
          <w:bCs w:val="false"/>
        </w:rPr>
        <w:t xml:space="preserve">GCCs remained the dominant driver of office absorption nationally in Q2 2026, reaching an all-time-high 10.3 million sq ft (42% of total take-up, +10% QoQ) — a trend directly benefiting Chennai and Hyderabad's GCC-anchored commercial corridors.</w:t>
      </w:r>
    </w:p>
    <w:p>
      <w:pPr>
        <w:spacing w:after="150"/>
      </w:pPr>
      <w:r>
        <w:rPr>
          <w:i/>
          <w:iCs/>
          <w:color w:val="595959"/>
          <w:sz w:val="18"/>
          <w:szCs w:val="18"/>
        </w:rPr>
        <w:t xml:space="preserve">Sources: Business Standard/CBRE (large-format leasing); TradeBrains (Chennai affordability); IBEF/Business Standard (GCC Q2 2026 absorption).</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India's six major metros launched a combined 104,882 residential units across 633 registered projects in Q1 2026, with South Indian cities showing sharply divergent trajectories — Chennai's launches falling 28% QoQ even as Bengaluru's surged.</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CREDAI Hyderabad and Tamil Nadu chapters continue to monitor the divergence in city-level launch activity as a key input into their respective state-level regulatory and advocacy priorities for the remainder of 2026.</w:t>
      </w:r>
    </w:p>
    <w:p>
      <w:pPr>
        <w:spacing w:after="150"/>
      </w:pPr>
      <w:r>
        <w:rPr>
          <w:i/>
          <w:iCs/>
          <w:color w:val="595959"/>
          <w:sz w:val="18"/>
          <w:szCs w:val="18"/>
        </w:rPr>
        <w:t xml:space="preserve">Sources: PropNewz (Q1 2026 metro launch/registration data); Business Standard (MoHUA advisory); The Week.</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residential market is "no longer moving in unison," per Q1 2026 data: Bengaluru's launches surged 32% YoY to 27,055 units while Hyderabad's crashed 46% YoY to 9,700 units — the sharpest single-quarter decline of any major city.</w:t>
      </w:r>
    </w:p>
    <w:p>
      <w:pPr>
        <w:pStyle w:val="ListParagraph"/>
        <w:numPr>
          <w:ilvl w:val="0"/>
          <w:numId w:val="2"/>
        </w:numPr>
        <w:spacing w:after="80"/>
      </w:pPr>
      <w:r>
        <w:rPr>
          <w:b w:val="false"/>
          <w:bCs w:val="false"/>
        </w:rPr>
        <w:t xml:space="preserve">India's six major metros launched a combined 104,882 residential units across 633 registered projects in Q1 2026, with launches broadly outpacing sales and inventory building, shifting negotiating leverage back toward buyers in several markets.</w:t>
      </w:r>
    </w:p>
    <w:p>
      <w:pPr>
        <w:pStyle w:val="ListParagraph"/>
        <w:numPr>
          <w:ilvl w:val="0"/>
          <w:numId w:val="2"/>
        </w:numPr>
        <w:spacing w:after="80"/>
      </w:pPr>
      <w:r>
        <w:rPr>
          <w:b w:val="false"/>
          <w:bCs w:val="false"/>
        </w:rPr>
        <w:t xml:space="preserve">Hyderabad's emergence as a luxury-housing hub (premium apartments at ₹9,000–15,000/sq ft) despite its launch slowdown illustrates how India's residential market is increasingly bifurcating between volume-led and value-led growth.</w:t>
      </w:r>
    </w:p>
    <w:p>
      <w:pPr>
        <w:spacing w:after="150"/>
      </w:pPr>
      <w:r>
        <w:rPr>
          <w:i/>
          <w:iCs/>
          <w:color w:val="595959"/>
          <w:sz w:val="18"/>
          <w:szCs w:val="18"/>
        </w:rPr>
        <w:t xml:space="preserve">Sources: The Week; PropNewz (Q1 2026 national launch/inventory data); Outlook Money (Hyderabad luxury housing).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13.1 million sq ft of H1 2026 gross office absorption, alongside its 10.1 million sq ft in large-format transactions, reaffirmed its position as India's largest and most resilient office market this year.</w:t>
      </w:r>
    </w:p>
    <w:p>
      <w:pPr>
        <w:pStyle w:val="ListParagraph"/>
        <w:numPr>
          <w:ilvl w:val="0"/>
          <w:numId w:val="2"/>
        </w:numPr>
        <w:spacing w:after="80"/>
      </w:pPr>
      <w:r>
        <w:rPr>
          <w:b w:val="false"/>
          <w:bCs w:val="false"/>
        </w:rPr>
        <w:t xml:space="preserve">GCCs and flex operators together accounted for the majority of national office absorption in H1 2026, with GCC leasing hitting an all-time quarterly high of 10.3 million sq ft in Q2 alone (42% of total take-up).</w:t>
      </w:r>
    </w:p>
    <w:p>
      <w:pPr>
        <w:pStyle w:val="ListParagraph"/>
        <w:numPr>
          <w:ilvl w:val="0"/>
          <w:numId w:val="2"/>
        </w:numPr>
        <w:spacing w:after="80"/>
      </w:pPr>
      <w:r>
        <w:rPr>
          <w:b w:val="false"/>
          <w:bCs w:val="false"/>
        </w:rPr>
        <w:t xml:space="preserve">IT-BPM companies and flexible workspace operators together contributed around 62% of sectoral office absorption nationally, underscoring the structural shift toward technology-led and flexible occupier demand.</w:t>
      </w:r>
    </w:p>
    <w:p>
      <w:pPr>
        <w:spacing w:after="150"/>
      </w:pPr>
      <w:r>
        <w:rPr>
          <w:i/>
          <w:iCs/>
          <w:color w:val="595959"/>
          <w:sz w:val="18"/>
          <w:szCs w:val="18"/>
        </w:rPr>
        <w:t xml:space="preserve">Sources: NewsFirstPrime; IBEF/Business Standard (GCC Q2 2026); Business Standard/CBRE.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nationally amid West Asia conflict-linked supply-chain disruptions.</w:t>
      </w:r>
    </w:p>
    <w:p>
      <w:pPr>
        <w:pStyle w:val="ListParagraph"/>
        <w:numPr>
          <w:ilvl w:val="0"/>
          <w:numId w:val="2"/>
        </w:numPr>
        <w:spacing w:after="80"/>
      </w:pPr>
      <w:r>
        <w:rPr>
          <w:b w:val="false"/>
          <w:bCs w:val="false"/>
        </w:rPr>
        <w:t xml:space="preserve">India's six major metros registered 633 new residential projects in Q1 2026, giving RERA authorities a substantial fresh compliance and monitoring workload even as launch activity diverges sharply between cities.</w:t>
      </w:r>
    </w:p>
    <w:p>
      <w:pPr>
        <w:pStyle w:val="ListParagraph"/>
        <w:numPr>
          <w:ilvl w:val="0"/>
          <w:numId w:val="2"/>
        </w:numPr>
        <w:spacing w:after="80"/>
      </w:pPr>
      <w:r>
        <w:rPr>
          <w:b w:val="false"/>
          <w:bCs w:val="false"/>
        </w:rPr>
        <w:t xml:space="preserve">Karnataka's ongoing K-RERA leadership vacancy remains a live governance discussion point for state regulators nationally, even as CREDAI chapters across states continue implementing the Centre's RERA extension advisory.</w:t>
      </w:r>
    </w:p>
    <w:p>
      <w:pPr>
        <w:spacing w:after="150"/>
      </w:pPr>
      <w:r>
        <w:rPr>
          <w:i/>
          <w:iCs/>
          <w:color w:val="595959"/>
          <w:sz w:val="18"/>
          <w:szCs w:val="18"/>
        </w:rPr>
        <w:t xml:space="preserve">Sources: Business Standard; PropNewz;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2026-08-13T03:40:30.689Z</dcterms:created>
  <dcterms:modified xsi:type="dcterms:W3CDTF">2026-08-13T03:40:30.704Z</dcterms:modified>
</cp:coreProperties>
</file>

<file path=docProps/custom.xml><?xml version="1.0" encoding="utf-8"?>
<Properties xmlns="http://schemas.openxmlformats.org/officeDocument/2006/custom-properties" xmlns:vt="http://schemas.openxmlformats.org/officeDocument/2006/docPropsVTypes"/>
</file>