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Tuesday, 15 September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Bengaluru recorded 12,544 new residential launches in Q2 2026, up 4% YoY, with the South submarket leading at a 38% share (Electronic City, Bannerghatta Road, Kanakapura Road), followed by North at 28% and East at 26%, anchored by Whitefield.</w:t>
      </w:r>
    </w:p>
    <w:p>
      <w:pPr>
        <w:pStyle w:val="ListParagraph"/>
        <w:numPr>
          <w:ilvl w:val="0"/>
          <w:numId w:val="2"/>
        </w:numPr>
        <w:spacing w:after="80"/>
      </w:pPr>
      <w:r>
        <w:rPr>
          <w:b w:val="false"/>
          <w:bCs w:val="false"/>
        </w:rPr>
        <w:t xml:space="preserve">JLL projects Bengaluru residential prices to rise 10-12% in 2026, driven by sustained demand, infrastructure expansion and limited supply in key micro-markets even as the broader market normalises from earlier peaks.</w:t>
      </w:r>
    </w:p>
    <w:p>
      <w:pPr>
        <w:pStyle w:val="ListParagraph"/>
        <w:numPr>
          <w:ilvl w:val="0"/>
          <w:numId w:val="2"/>
        </w:numPr>
        <w:spacing w:after="80"/>
      </w:pPr>
      <w:r>
        <w:rPr>
          <w:b w:val="false"/>
          <w:bCs w:val="false"/>
        </w:rPr>
        <w:t xml:space="preserve">Competitive home loan rates continue to support affordability: SBI's September 2026 rates range 7.25-8.45%, while ICICI Bank and Bajaj Finance offer rates starting from 7.50% and 7.25% respectively for well-qualified salaried borrowers.</w:t>
      </w:r>
    </w:p>
    <w:p>
      <w:pPr>
        <w:spacing w:after="150"/>
      </w:pPr>
      <w:r>
        <w:rPr>
          <w:i/>
          <w:iCs/>
          <w:color w:val="595959"/>
          <w:sz w:val="18"/>
          <w:szCs w:val="18"/>
        </w:rPr>
        <w:t xml:space="preserve">Sources: Cushman &amp; Wakefield Bengaluru MarketBeat (Q2 2026 launches, submarket share, JLL price outlook); UrbanMoney/ANI (SBI/ICICI/Bajaj Finance home loan rates).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Bengaluru's retail leasing reached approximately 0.25 million sq ft in Q2 2026, up 19% quarter-on-quarter and 42% year-on-year, with main streets capturing 68% of activity across Indiranagar, Brigade Road, Koramangala and Sarjapur Road.</w:t>
      </w:r>
    </w:p>
    <w:p>
      <w:pPr>
        <w:pStyle w:val="ListParagraph"/>
        <w:numPr>
          <w:ilvl w:val="0"/>
          <w:numId w:val="2"/>
        </w:numPr>
        <w:spacing w:after="80"/>
      </w:pPr>
      <w:r>
        <w:rPr>
          <w:b w:val="false"/>
          <w:bCs w:val="false"/>
        </w:rPr>
        <w:t xml:space="preserve">The city's warehousing and industrial market recorded 3.1 million sq ft of leasing in H1 2026, with Nelamangala, Dabaspete and Hoskote emerging as the leading hubs on strong 3PL, e-commerce and manufacturing demand.</w:t>
      </w:r>
    </w:p>
    <w:p>
      <w:pPr>
        <w:pStyle w:val="ListParagraph"/>
        <w:numPr>
          <w:ilvl w:val="0"/>
          <w:numId w:val="2"/>
        </w:numPr>
        <w:spacing w:after="80"/>
      </w:pPr>
      <w:r>
        <w:rPr>
          <w:b w:val="false"/>
          <w:bCs w:val="false"/>
        </w:rPr>
        <w:t xml:space="preserve">Sustained limited supply alongside strong occupier demand across retail, warehousing and residential segments continues to underpin JLL's 10-12% price-growth forecast for Bengaluru through 2026.</w:t>
      </w:r>
    </w:p>
    <w:p>
      <w:pPr>
        <w:spacing w:after="150"/>
      </w:pPr>
      <w:r>
        <w:rPr>
          <w:i/>
          <w:iCs/>
          <w:color w:val="595959"/>
          <w:sz w:val="18"/>
          <w:szCs w:val="18"/>
        </w:rPr>
        <w:t xml:space="preserve">Sources: Cushman &amp; Wakefield Bengaluru MarketBeat (retail leasing, warehousing hubs).</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CREDAI Hubballi-Dharwad is hosting Recon Expo 2026, billed as North Karnataka's largest property and construction exhibition, showcasing real estate innovations, construction technology and interior design trends across the region.</w:t>
      </w:r>
    </w:p>
    <w:p>
      <w:pPr>
        <w:pStyle w:val="ListParagraph"/>
        <w:numPr>
          <w:ilvl w:val="0"/>
          <w:numId w:val="2"/>
        </w:numPr>
        <w:spacing w:after="80"/>
      </w:pPr>
      <w:r>
        <w:rPr>
          <w:b w:val="false"/>
          <w:bCs w:val="false"/>
        </w:rPr>
        <w:t xml:space="preserve">The Recon Expo reflects CREDAI's continued push toward urban expansion, transparency and government reform beyond Bengaluru, extending organised real estate development infrastructure into North Karnataka's Hubballi-Dharwad belt.</w:t>
      </w:r>
    </w:p>
    <w:p>
      <w:pPr>
        <w:pStyle w:val="ListParagraph"/>
        <w:numPr>
          <w:ilvl w:val="0"/>
          <w:numId w:val="2"/>
        </w:numPr>
        <w:spacing w:after="80"/>
      </w:pPr>
      <w:r>
        <w:rPr>
          <w:b w:val="false"/>
          <w:bCs w:val="false"/>
        </w:rPr>
        <w:t xml:space="preserve">Karnataka's dual regulatory focus — managing Bengaluru's IT-corridor supply-demand dynamics while supporting North Karnataka's emerging exhibition-driven growth — illustrates the state's broadening real estate development ambitions statewide.</w:t>
      </w:r>
    </w:p>
    <w:p>
      <w:pPr>
        <w:spacing w:after="150"/>
      </w:pPr>
      <w:r>
        <w:rPr>
          <w:i/>
          <w:iCs/>
          <w:color w:val="595959"/>
          <w:sz w:val="18"/>
          <w:szCs w:val="18"/>
        </w:rPr>
        <w:t xml:space="preserve">Sources: HomesBuildings (CREDAI Hubballi-Dharwad Recon Expo 2026); CREDAI Hubli-Dharwad (chapter mission and focus areas).</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Visakhapatnam's Kapuluppada, Bhogapuram and Thagarapuvalasa localities have posted the region's highest three-year price appreciation at 41.8%, 35.5% and 35.1% respectively, among the strongest gains anywhere in South India.</w:t>
      </w:r>
    </w:p>
    <w:p>
      <w:pPr>
        <w:pStyle w:val="ListParagraph"/>
        <w:numPr>
          <w:ilvl w:val="0"/>
          <w:numId w:val="2"/>
        </w:numPr>
        <w:spacing w:after="80"/>
      </w:pPr>
      <w:r>
        <w:rPr>
          <w:b w:val="false"/>
          <w:bCs w:val="false"/>
        </w:rPr>
        <w:t xml:space="preserve">The city's residential market is projected to grow 6-10% in 2026, with Grade-A housing stock rising and occupier demand diversifying across affordable, mid-income and premium segments as institutional confidence strengthens.</w:t>
      </w:r>
    </w:p>
    <w:p>
      <w:pPr>
        <w:pStyle w:val="ListParagraph"/>
        <w:numPr>
          <w:ilvl w:val="0"/>
          <w:numId w:val="2"/>
        </w:numPr>
        <w:spacing w:after="80"/>
      </w:pPr>
      <w:r>
        <w:rPr>
          <w:b w:val="false"/>
          <w:bCs w:val="false"/>
        </w:rPr>
        <w:t xml:space="preserve">Vizag buyers are increasingly drawn to sustainable and eco-friendly construction, with growing interest in green buildings and energy-efficient housing solutions reshaping developer product strategy in the city.</w:t>
      </w:r>
    </w:p>
    <w:p>
      <w:pPr>
        <w:spacing w:after="150"/>
      </w:pPr>
      <w:r>
        <w:rPr>
          <w:i/>
          <w:iCs/>
          <w:color w:val="595959"/>
          <w:sz w:val="18"/>
          <w:szCs w:val="18"/>
        </w:rPr>
        <w:t xml:space="preserve">Sources: M9.News (Vizag price appreciation by locality, developer investment); RP Realty Plus (Vizag 2026 growth outlook, Grade-A stock trends).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Major pan-India developers are placing large bets on Vizag's growth: K Raheja Corp, Sattva Group and ANSR have already announced projects in the city, with talks reportedly underway with Prestige Group and RMZ signalling further institutional expansion.</w:t>
      </w:r>
    </w:p>
    <w:p>
      <w:pPr>
        <w:pStyle w:val="ListParagraph"/>
        <w:numPr>
          <w:ilvl w:val="0"/>
          <w:numId w:val="2"/>
        </w:numPr>
        <w:spacing w:after="80"/>
      </w:pPr>
      <w:r>
        <w:rPr>
          <w:b w:val="false"/>
          <w:bCs w:val="false"/>
        </w:rPr>
        <w:t xml:space="preserve">The entry of established national developers into Visakhapatnam marks a structural shift for the city's commercial real estate credibility, moving it beyond a purely residential growth story.</w:t>
      </w:r>
    </w:p>
    <w:p>
      <w:pPr>
        <w:pStyle w:val="ListParagraph"/>
        <w:numPr>
          <w:ilvl w:val="0"/>
          <w:numId w:val="2"/>
        </w:numPr>
        <w:spacing w:after="80"/>
      </w:pPr>
      <w:r>
        <w:rPr>
          <w:b w:val="false"/>
          <w:bCs w:val="false"/>
        </w:rPr>
        <w:t xml:space="preserve">Rising Grade-A housing and commercial stock, combined with strengthening institutional investor confidence, positions Vizag as one of South India's fastest-institutionalising Tier-2 real estate markets.</w:t>
      </w:r>
    </w:p>
    <w:p>
      <w:pPr>
        <w:spacing w:after="150"/>
      </w:pPr>
      <w:r>
        <w:rPr>
          <w:i/>
          <w:iCs/>
          <w:color w:val="595959"/>
          <w:sz w:val="18"/>
          <w:szCs w:val="18"/>
        </w:rPr>
        <w:t xml:space="preserve">Sources: M9.News (K Raheja Corp, Sattva Group, ANSR, Prestige/RMZ talks); RP Realty Plus.</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The entry of major pan-India developers — K Raheja Corp, Sattva Group, ANSR and reportedly Prestige and RMZ — into Vizag is expected to draw greater CREDAI Andhra Pradesh chapter attention to registration and compliance as large-scale projects launch.</w:t>
      </w:r>
    </w:p>
    <w:p>
      <w:pPr>
        <w:pStyle w:val="ListParagraph"/>
        <w:numPr>
          <w:ilvl w:val="0"/>
          <w:numId w:val="2"/>
        </w:numPr>
        <w:spacing w:after="80"/>
      </w:pPr>
      <w:r>
        <w:rPr>
          <w:b w:val="false"/>
          <w:bCs w:val="false"/>
        </w:rPr>
        <w:t xml:space="preserve">CREDAI AP is likely to watch hyper-local appreciation trends like Kapuluppada's 41.8% three-year gain as a case study in how infrastructure catalysts are reshaping specific Vizag micro-markets.</w:t>
      </w:r>
    </w:p>
    <w:p>
      <w:pPr>
        <w:pStyle w:val="ListParagraph"/>
        <w:numPr>
          <w:ilvl w:val="0"/>
          <w:numId w:val="2"/>
        </w:numPr>
        <w:spacing w:after="80"/>
      </w:pPr>
      <w:r>
        <w:rPr>
          <w:b w:val="false"/>
          <w:bCs w:val="false"/>
        </w:rPr>
        <w:t xml:space="preserve">South India's CREDAI network continues to broaden its regional footprint, mirroring Karnataka's Hubballi-Dharwad Recon Expo push into organised, exhibition-driven growth beyond established metro cores.</w:t>
      </w:r>
    </w:p>
    <w:p>
      <w:pPr>
        <w:spacing w:after="150"/>
      </w:pPr>
      <w:r>
        <w:rPr>
          <w:i/>
          <w:iCs/>
          <w:color w:val="595959"/>
          <w:sz w:val="18"/>
          <w:szCs w:val="18"/>
        </w:rPr>
        <w:t xml:space="preserve">Sources: M9.News; RP Realty Plus; HomesBuildings.</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India's home loan interest rates remain historically competitive in September 2026, starting from 7.10% per annum at public-sector banks for well-qualified borrowers, with rates ranging up to 13%+ depending on lender, credit score and profile.</w:t>
      </w:r>
    </w:p>
    <w:p>
      <w:pPr>
        <w:pStyle w:val="ListParagraph"/>
        <w:numPr>
          <w:ilvl w:val="0"/>
          <w:numId w:val="2"/>
        </w:numPr>
        <w:spacing w:after="80"/>
      </w:pPr>
      <w:r>
        <w:rPr>
          <w:b w:val="false"/>
          <w:bCs w:val="false"/>
        </w:rPr>
        <w:t xml:space="preserve">SBI's September 2026 home loan rates range 7.25-8.45% p.a. (linked to its 8.15% EBLR), while ICICI Bank offers rates from 7.50% and Bajaj Finance offers 7.25% for salaried and 7.70% for self-employed applicants.</w:t>
      </w:r>
    </w:p>
    <w:p>
      <w:pPr>
        <w:pStyle w:val="ListParagraph"/>
        <w:numPr>
          <w:ilvl w:val="0"/>
          <w:numId w:val="2"/>
        </w:numPr>
        <w:spacing w:after="80"/>
      </w:pPr>
      <w:r>
        <w:rPr>
          <w:b w:val="false"/>
          <w:bCs w:val="false"/>
        </w:rPr>
        <w:t xml:space="preserve">Borrowers with a CIBIL score above 750 can access the best available rates nationally, between 7.10% and 7.65% per annum, continuing to support homebuyer affordability even as broader Q1 FY27 sales momentum softened.</w:t>
      </w:r>
    </w:p>
    <w:p>
      <w:pPr>
        <w:spacing w:after="150"/>
      </w:pPr>
      <w:r>
        <w:rPr>
          <w:i/>
          <w:iCs/>
          <w:color w:val="595959"/>
          <w:sz w:val="18"/>
          <w:szCs w:val="18"/>
        </w:rPr>
        <w:t xml:space="preserve">Sources: UrbanMoney (SBI, home loan rate ranges); ANI/BankBazaar (ICICI, Bajaj Finance rates, CIBIL-linked best rates).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The RBI's repo rate holds steady at 5.25%, following a cumulative 125 basis points of cuts through calendar 2025, continuing to underpin lower borrowing costs for both residential and commercial real estate financing nationally.</w:t>
      </w:r>
    </w:p>
    <w:p>
      <w:pPr>
        <w:pStyle w:val="ListParagraph"/>
        <w:numPr>
          <w:ilvl w:val="0"/>
          <w:numId w:val="2"/>
        </w:numPr>
        <w:spacing w:after="80"/>
      </w:pPr>
      <w:r>
        <w:rPr>
          <w:b w:val="false"/>
          <w:bCs w:val="false"/>
        </w:rPr>
        <w:t xml:space="preserve">CREDAI's expanding regional footprint — from North Karnataka's Recon Expo to major pan-India developers' fresh entry into Vizag — reflects the industry's broader national push into organised, Tier-2 growth corridors beyond established metros.</w:t>
      </w:r>
    </w:p>
    <w:p>
      <w:pPr>
        <w:pStyle w:val="ListParagraph"/>
        <w:numPr>
          <w:ilvl w:val="0"/>
          <w:numId w:val="2"/>
        </w:numPr>
        <w:spacing w:after="80"/>
      </w:pPr>
      <w:r>
        <w:rPr>
          <w:b w:val="false"/>
          <w:bCs w:val="false"/>
        </w:rPr>
        <w:t xml:space="preserve">Major developers including K Raheja Corp, Sattva Group, ANSR and reportedly Prestige and RMZ expanding into emerging cities like Visakhapatnam illustrate institutional capital's continued diversification beyond India's traditional metro markets.</w:t>
      </w:r>
    </w:p>
    <w:p>
      <w:pPr>
        <w:spacing w:after="150"/>
      </w:pPr>
      <w:r>
        <w:rPr>
          <w:i/>
          <w:iCs/>
          <w:color w:val="595959"/>
          <w:sz w:val="18"/>
          <w:szCs w:val="18"/>
        </w:rPr>
        <w:t xml:space="preserve">Sources: UrbanMoney/ANI (RBI repo rate context); HomesBuildings; M9.News.</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CREDAI's continued regional expansion — North Karnataka's Recon Expo and South India's growing institutional investment wave in cities like Vizag — reflects a national strategy of building organised real estate infrastructure in Tier-2 growth markets.</w:t>
      </w:r>
    </w:p>
    <w:p>
      <w:pPr>
        <w:pStyle w:val="ListParagraph"/>
        <w:numPr>
          <w:ilvl w:val="0"/>
          <w:numId w:val="2"/>
        </w:numPr>
        <w:spacing w:after="80"/>
      </w:pPr>
      <w:r>
        <w:rPr>
          <w:b w:val="false"/>
          <w:bCs w:val="false"/>
        </w:rPr>
        <w:t xml:space="preserve">Competitive home loan rates (7.10-8.60% range nationally), supported by the RBI's steady 5.25% repo rate, continue to underpin demand-side confidence even amid regional supply-demand variations across major cities.</w:t>
      </w:r>
    </w:p>
    <w:p>
      <w:pPr>
        <w:pStyle w:val="ListParagraph"/>
        <w:numPr>
          <w:ilvl w:val="0"/>
          <w:numId w:val="2"/>
        </w:numPr>
        <w:spacing w:after="80"/>
      </w:pPr>
      <w:r>
        <w:rPr>
          <w:b w:val="false"/>
          <w:bCs w:val="false"/>
        </w:rPr>
        <w:t xml:space="preserve">CREDAI and NAREDCO are expected to continue citing improved affordability and major developers' expansion into emerging cities as evidence of the sector's underlying resilience heading into the rest of FY27.</w:t>
      </w:r>
    </w:p>
    <w:p>
      <w:pPr>
        <w:spacing w:after="150"/>
      </w:pPr>
      <w:r>
        <w:rPr>
          <w:i/>
          <w:iCs/>
          <w:color w:val="595959"/>
          <w:sz w:val="18"/>
          <w:szCs w:val="18"/>
        </w:rPr>
        <w:t xml:space="preserve">Sources: UrbanMoney/ANI; HomesBuildings; M9.News.</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2026-09-15T03:40:06.612Z</dcterms:created>
  <dcterms:modified xsi:type="dcterms:W3CDTF">2026-09-15T03:40:06.625Z</dcterms:modified>
</cp:coreProperties>
</file>

<file path=docProps/custom.xml><?xml version="1.0" encoding="utf-8"?>
<Properties xmlns="http://schemas.openxmlformats.org/officeDocument/2006/custom-properties" xmlns:vt="http://schemas.openxmlformats.org/officeDocument/2006/docPropsVTypes"/>
</file>