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NBR Group – Daily Morning Real Estate Digest</w:t>
      </w:r>
    </w:p>
    <w:p>
      <w:pPr>
        <w:spacing w:after="300"/>
        <w:jc w:val="center"/>
      </w:pPr>
      <w:r>
        <w:rPr>
          <w:i/>
          <w:iCs/>
          <w:color w:val="595959"/>
          <w:sz w:val="22"/>
          <w:szCs w:val="22"/>
        </w:rPr>
        <w:t xml:space="preserve">Compiled for Senior Management  |  Tuesday, 20 October 2026  |  For internal circulation</w:t>
      </w:r>
    </w:p>
    <w:p>
      <w:pPr>
        <w:spacing w:after="120"/>
      </w:pPr>
      <w:r>
        <w:t xml:space="preserve">This digest tracks residential-led news and updates across the real estate sector, with additional coverage of commercial, industrial and leasing activity, structured across three layers: (1) Bengaluru &amp; Karnataka, (2) South India, and (3) National. RERA and CREDAI updates are reported within each respective layer.</w:t>
      </w:r>
    </w:p>
    <w:p>
      <w:pPr>
        <w:pStyle w:val="Heading1"/>
        <w:pBdr>
          <w:bottom w:val="single" w:color="1F3864" w:sz="12" w:space="4"/>
        </w:pBdr>
        <w:spacing w:after="150" w:before="400"/>
      </w:pPr>
      <w:r>
        <w:rPr>
          <w:b/>
          <w:bCs/>
          <w:color w:val="1F3864"/>
        </w:rPr>
        <w:t xml:space="preserve">Layer 1 — Bengaluru &amp; Karnataka</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Electronic City's connectivity has improved significantly with the now-operational Yellow Line Metro, with 2026 market guides describing the corridor as transitioning from a purely tech-focused zone into a full-fledged residential neighbourhood.</w:t>
      </w:r>
    </w:p>
    <w:p>
      <w:pPr>
        <w:pStyle w:val="ListParagraph"/>
        <w:numPr>
          <w:ilvl w:val="0"/>
          <w:numId w:val="2"/>
        </w:numPr>
        <w:spacing w:after="80"/>
      </w:pPr>
      <w:r>
        <w:rPr>
          <w:b w:val="false"/>
          <w:bCs w:val="false"/>
        </w:rPr>
        <w:t xml:space="preserve">New supply in the Electronic City Phase 2-Attibele belt includes Purva Silversky (32-storey, ~7 acres, 3-BHK from ₹2.3 crore), Sobha Townpark near Attibele Industrial Area (44-storey, ~33.7 acres, 3-BHK from ₹1.9-2.3 crore), and Janaadhar Shubha Phase II in Attibele (2-BHK from ₹24 lakh, PMAY credit-linked-subsidy eligible).</w:t>
      </w:r>
    </w:p>
    <w:p>
      <w:pPr>
        <w:pStyle w:val="ListParagraph"/>
        <w:numPr>
          <w:ilvl w:val="0"/>
          <w:numId w:val="2"/>
        </w:numPr>
        <w:spacing w:after="80"/>
      </w:pPr>
      <w:r>
        <w:rPr>
          <w:b w:val="false"/>
          <w:bCs w:val="false"/>
        </w:rPr>
        <w:t xml:space="preserve">Attibele Industrial Area's continued pull as a manufacturing, automotive, pharmaceutical and electronics hub is cited as a structural demand driver for the adjoining Electronic City Phase 2 residential belt.</w:t>
      </w:r>
    </w:p>
    <w:p>
      <w:pPr>
        <w:spacing w:after="150"/>
      </w:pPr>
      <w:r>
        <w:rPr>
          <w:i/>
          <w:iCs/>
          <w:color w:val="595959"/>
          <w:sz w:val="18"/>
          <w:szCs w:val="18"/>
        </w:rPr>
        <w:t xml:space="preserve">Sources: Homebazaar (Electronic City 2026 market guides, project listings); Ghar.tv (Attibele Industrial Area profile); developer listing pages (Purva Silversky, Sobha Townpark, Janaadhar Shubha Phase II pricing).</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Bengaluru's office market recorded 5.6 million sq ft of gross leasing in Q2 2026 per Cushman &amp; Wakefield, with GCCs accounting for 52% of activity and Outer Ring Road/Peripheral East posting the highest leasing volumes; net absorption reached 3.5 million sq ft against record Grade A supply of 5.8 million sq ft.</w:t>
      </w:r>
    </w:p>
    <w:p>
      <w:pPr>
        <w:pStyle w:val="ListParagraph"/>
        <w:numPr>
          <w:ilvl w:val="0"/>
          <w:numId w:val="2"/>
        </w:numPr>
        <w:spacing w:after="80"/>
      </w:pPr>
      <w:r>
        <w:rPr>
          <w:b w:val="false"/>
          <w:bCs w:val="false"/>
        </w:rPr>
        <w:t xml:space="preserve">Disney India signed one of Q1 2026's largest commercial transactions, leasing roughly 1.75 lakh sq ft at RMZ Ecoworld 2.0 in Bellandur on the ORR tech corridor for a five-year term.</w:t>
      </w:r>
    </w:p>
    <w:p>
      <w:pPr>
        <w:pStyle w:val="ListParagraph"/>
        <w:numPr>
          <w:ilvl w:val="0"/>
          <w:numId w:val="2"/>
        </w:numPr>
        <w:spacing w:after="80"/>
      </w:pPr>
      <w:r>
        <w:rPr>
          <w:b w:val="false"/>
          <w:bCs w:val="false"/>
        </w:rPr>
        <w:t xml:space="preserve">VeARC India (the GCC for Long Arc Capital) leased about 27,000 sq ft at The Executive Centre's Helios Business Park on ORR, adding over 450 workstations to the corridor's GCC footprint.</w:t>
      </w:r>
    </w:p>
    <w:p>
      <w:pPr>
        <w:spacing w:after="150"/>
      </w:pPr>
      <w:r>
        <w:rPr>
          <w:i/>
          <w:iCs/>
          <w:color w:val="595959"/>
          <w:sz w:val="18"/>
          <w:szCs w:val="18"/>
        </w:rPr>
        <w:t xml:space="preserve">Sources: Cushman &amp; Wakefield Bengaluru MarketBeat (Q2 2026 leasing, GCC share, absorption/supply); Therealtytoday (Disney India RMZ Ecoworld lease); RealtyNMore/Construction World (VeARC Helios Business Park lease).</w:t>
      </w:r>
    </w:p>
    <w:p>
      <w:pPr>
        <w:pStyle w:val="Heading2"/>
        <w:spacing w:after="100" w:before="200"/>
      </w:pPr>
      <w:r>
        <w:rPr>
          <w:b/>
          <w:bCs/>
          <w:color w:val="C00000"/>
        </w:rPr>
        <w:t xml:space="preserve">Karnataka RERA &amp; CREDAI Updates</w:t>
      </w:r>
    </w:p>
    <w:p>
      <w:pPr>
        <w:pStyle w:val="ListParagraph"/>
        <w:numPr>
          <w:ilvl w:val="0"/>
          <w:numId w:val="2"/>
        </w:numPr>
        <w:spacing w:after="80"/>
      </w:pPr>
      <w:r>
        <w:rPr>
          <w:b w:val="false"/>
          <w:bCs w:val="false"/>
        </w:rPr>
        <w:t xml:space="preserve">Nasscom-Zinnov's 2026 report puts India's GCC market at $98.4 billion in FY26, with Bengaluru hosting more than 29% of all active GCCs nationally, reinforcing the city's structural office-demand base.</w:t>
      </w:r>
    </w:p>
    <w:p>
      <w:pPr>
        <w:pStyle w:val="ListParagraph"/>
        <w:numPr>
          <w:ilvl w:val="0"/>
          <w:numId w:val="2"/>
        </w:numPr>
        <w:spacing w:after="80"/>
      </w:pPr>
      <w:r>
        <w:rPr>
          <w:b w:val="false"/>
          <w:bCs w:val="false"/>
        </w:rPr>
        <w:t xml:space="preserve">ICRA expects Bengaluru's office market to sustain single-digit vacancy levels through FY2027, with ORR (Southeast), Whitefield and Nagavara together holding roughly 37% of the city's total office supply.</w:t>
      </w:r>
    </w:p>
    <w:p>
      <w:pPr>
        <w:pStyle w:val="ListParagraph"/>
        <w:numPr>
          <w:ilvl w:val="0"/>
          <w:numId w:val="2"/>
        </w:numPr>
        <w:spacing w:after="80"/>
      </w:pPr>
      <w:r>
        <w:rPr>
          <w:b w:val="false"/>
          <w:bCs w:val="false"/>
        </w:rPr>
        <w:t xml:space="preserve">CREDAI Karnataka members are likely to view sustained GCC-driven office absorption near Electronic City, ORR and Attibele as reinforcing confidence in adjoining residential project registrations, even as developers continue diversifying into PMAY-eligible affordable supply in corridors like Attibele.</w:t>
      </w:r>
    </w:p>
    <w:p>
      <w:pPr>
        <w:spacing w:after="150"/>
      </w:pPr>
      <w:r>
        <w:rPr>
          <w:i/>
          <w:iCs/>
          <w:color w:val="595959"/>
          <w:sz w:val="18"/>
          <w:szCs w:val="18"/>
        </w:rPr>
        <w:t xml:space="preserve">Sources: Construction World/Nasscom-Zinnov (India GCC market size, Bengaluru share); ICRA (Bengaluru office vacancy, micro-market supply share).</w:t>
      </w:r>
    </w:p>
    <w:p>
      <w:pPr>
        <w:pStyle w:val="Heading1"/>
        <w:pBdr>
          <w:bottom w:val="single" w:color="1F3864" w:sz="12" w:space="4"/>
        </w:pBdr>
        <w:spacing w:after="150" w:before="400"/>
      </w:pPr>
      <w:r>
        <w:rPr>
          <w:b/>
          <w:bCs/>
          <w:color w:val="1F3864"/>
        </w:rPr>
        <w:t xml:space="preserve">Layer 2 — South India</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Porur is increasingly being positioned as Chennai's "OMR 2.0," drawing IT, manufacturing and healthcare employers including DLF IT Park tenants, with average residential pricing in the locality reported at roughly ₹6,500 per sq ft.</w:t>
      </w:r>
    </w:p>
    <w:p>
      <w:pPr>
        <w:pStyle w:val="ListParagraph"/>
        <w:numPr>
          <w:ilvl w:val="0"/>
          <w:numId w:val="2"/>
        </w:numPr>
        <w:spacing w:after="80"/>
      </w:pPr>
      <w:r>
        <w:rPr>
          <w:b w:val="false"/>
          <w:bCs w:val="false"/>
        </w:rPr>
        <w:t xml:space="preserve">The OMR corridor itself remains home to more than 1,500 IT/ITeS companies employing over 3 lakh professionals, with demand increasingly spilling over from OMR into Porur and other adjacent corridors as the original belt matures.</w:t>
      </w:r>
    </w:p>
    <w:p>
      <w:pPr>
        <w:pStyle w:val="ListParagraph"/>
        <w:numPr>
          <w:ilvl w:val="0"/>
          <w:numId w:val="2"/>
        </w:numPr>
        <w:spacing w:after="80"/>
      </w:pPr>
      <w:r>
        <w:rPr>
          <w:b w:val="false"/>
          <w:bCs w:val="false"/>
        </w:rPr>
        <w:t xml:space="preserve">Chennai Metro Phase 2 is expected to connect Porur to other parts of the city, with the existing Porur Flyover and Mount-Poonamallee Road already cited as key factors improving the locality's residential accessibility.</w:t>
      </w:r>
    </w:p>
    <w:p>
      <w:pPr>
        <w:spacing w:after="150"/>
      </w:pPr>
      <w:r>
        <w:rPr>
          <w:i/>
          <w:iCs/>
          <w:color w:val="595959"/>
          <w:sz w:val="18"/>
          <w:szCs w:val="18"/>
        </w:rPr>
        <w:t xml:space="preserve">Sources: The Week/syndicated wire (Porur as "OMR 2.0", employer mix); Puravankara (2026 Chennai growth-corridor guide, OMR employment base); Middleheight (Porur connectivity, Metro Phase 2).</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Porur's emergence as a secondary IT and healthcare hub is helping relieve pressure on the increasingly saturated OMR corridor, with its employer mix now spanning IT, manufacturing and healthcare rather than IT alone.</w:t>
      </w:r>
    </w:p>
    <w:p>
      <w:pPr>
        <w:pStyle w:val="ListParagraph"/>
        <w:numPr>
          <w:ilvl w:val="0"/>
          <w:numId w:val="2"/>
        </w:numPr>
        <w:spacing w:after="80"/>
      </w:pPr>
      <w:r>
        <w:rPr>
          <w:b w:val="false"/>
          <w:bCs w:val="false"/>
        </w:rPr>
        <w:t xml:space="preserve">OMR's established base of 1,500-plus IT/ITeS companies continues to anchor South Chennai's commercial leasing activity even as new employer and residential demand increasingly shifts toward Porur and nearby growth corridors.</w:t>
      </w:r>
    </w:p>
    <w:p>
      <w:pPr>
        <w:pStyle w:val="ListParagraph"/>
        <w:numPr>
          <w:ilvl w:val="0"/>
          <w:numId w:val="2"/>
        </w:numPr>
        <w:spacing w:after="80"/>
      </w:pPr>
      <w:r>
        <w:rPr>
          <w:b w:val="false"/>
          <w:bCs w:val="false"/>
        </w:rPr>
        <w:t xml:space="preserve">Continued investment in Metro Phase 2 connectivity and road infrastructure (Porur Flyover, Mount-Poonamallee Road) is expected to further commercial and residential development along the Porur-OMR corridor over the coming years.</w:t>
      </w:r>
    </w:p>
    <w:p>
      <w:pPr>
        <w:spacing w:after="150"/>
      </w:pPr>
      <w:r>
        <w:rPr>
          <w:i/>
          <w:iCs/>
          <w:color w:val="595959"/>
          <w:sz w:val="18"/>
          <w:szCs w:val="18"/>
        </w:rPr>
        <w:t xml:space="preserve">Sources: The Week/syndicated wire; Puravankara; Middleheight.</w:t>
      </w:r>
    </w:p>
    <w:p>
      <w:pPr>
        <w:pStyle w:val="Heading2"/>
        <w:spacing w:after="100" w:before="200"/>
      </w:pPr>
      <w:r>
        <w:rPr>
          <w:b/>
          <w:bCs/>
          <w:color w:val="C00000"/>
        </w:rPr>
        <w:t xml:space="preserve">South India RERA &amp; CREDAI Updates</w:t>
      </w:r>
    </w:p>
    <w:p>
      <w:pPr>
        <w:pStyle w:val="ListParagraph"/>
        <w:numPr>
          <w:ilvl w:val="0"/>
          <w:numId w:val="2"/>
        </w:numPr>
        <w:spacing w:after="80"/>
      </w:pPr>
      <w:r>
        <w:rPr>
          <w:b w:val="false"/>
          <w:bCs w:val="false"/>
        </w:rPr>
        <w:t xml:space="preserve">CREDAI Tamil Nadu is likely to view Porur's emergence as a release valve for OMR's saturation as a positive diversification signal, supporting new project registrations across a broader set of South Chennai corridors.</w:t>
      </w:r>
    </w:p>
    <w:p>
      <w:pPr>
        <w:pStyle w:val="ListParagraph"/>
        <w:numPr>
          <w:ilvl w:val="0"/>
          <w:numId w:val="2"/>
        </w:numPr>
        <w:spacing w:after="80"/>
      </w:pPr>
      <w:r>
        <w:rPr>
          <w:b w:val="false"/>
          <w:bCs w:val="false"/>
        </w:rPr>
        <w:t xml:space="preserve">With Chennai Metro Phase 2 connectivity to Porur still pending, CREDAI Tamil Nadu members are expected to remain measured about explicitly tying new Porur launches to the metro's eventual completion timeline.</w:t>
      </w:r>
    </w:p>
    <w:p>
      <w:pPr>
        <w:pStyle w:val="ListParagraph"/>
        <w:numPr>
          <w:ilvl w:val="0"/>
          <w:numId w:val="2"/>
        </w:numPr>
        <w:spacing w:after="80"/>
      </w:pPr>
      <w:r>
        <w:rPr>
          <w:b w:val="false"/>
          <w:bCs w:val="false"/>
        </w:rPr>
        <w:t xml:space="preserve">The continued influx of IT, manufacturing and healthcare employers into Porur is likely to keep CREDAI Tamil Nadu focused on ensuring adequate RERA-registered residential supply keeps pace with the corridor's diversifying job base.</w:t>
      </w:r>
    </w:p>
    <w:p>
      <w:pPr>
        <w:spacing w:after="150"/>
      </w:pPr>
      <w:r>
        <w:rPr>
          <w:i/>
          <w:iCs/>
          <w:color w:val="595959"/>
          <w:sz w:val="18"/>
          <w:szCs w:val="18"/>
        </w:rPr>
        <w:t xml:space="preserve">Sources: The Week/syndicated wire; Puravankara; Middleheight.</w:t>
      </w:r>
    </w:p>
    <w:p>
      <w:pPr>
        <w:pStyle w:val="Heading1"/>
        <w:pBdr>
          <w:bottom w:val="single" w:color="1F3864" w:sz="12" w:space="4"/>
        </w:pBdr>
        <w:spacing w:after="150" w:before="400"/>
      </w:pPr>
      <w:r>
        <w:rPr>
          <w:b/>
          <w:bCs/>
          <w:color w:val="1F3864"/>
        </w:rPr>
        <w:t xml:space="preserve">Layer 3 — National</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The National Housing Bank (NHB) may double refinance and affordable-housing funding for large housing finance companies this fiscal year, per an Economic Times report dated 5 October 2026, with LIC Housing Finance and Bajaj Housing Finance among the likely beneficiaries.</w:t>
      </w:r>
    </w:p>
    <w:p>
      <w:pPr>
        <w:pStyle w:val="ListParagraph"/>
        <w:numPr>
          <w:ilvl w:val="0"/>
          <w:numId w:val="2"/>
        </w:numPr>
        <w:spacing w:after="80"/>
      </w:pPr>
      <w:r>
        <w:rPr>
          <w:b w:val="false"/>
          <w:bCs w:val="false"/>
        </w:rPr>
        <w:t xml:space="preserve">The move is aimed at reducing large HFCs' dependency on bank borrowing, giving them an alternative funding channel specifically earmarked for affordable-housing lending.</w:t>
      </w:r>
    </w:p>
    <w:p>
      <w:pPr>
        <w:pStyle w:val="ListParagraph"/>
        <w:numPr>
          <w:ilvl w:val="0"/>
          <w:numId w:val="2"/>
        </w:numPr>
        <w:spacing w:after="80"/>
      </w:pPr>
      <w:r>
        <w:rPr>
          <w:b w:val="false"/>
          <w:bCs w:val="false"/>
        </w:rPr>
        <w:t xml:space="preserve">NHB's regulatory focus has increasingly shifted toward refinance, affordable housing and market development since oversight of housing finance companies themselves moved to the RBI, making this funding expansion a direct policy lever for affordable-segment credit availability.</w:t>
      </w:r>
    </w:p>
    <w:p>
      <w:pPr>
        <w:spacing w:after="150"/>
      </w:pPr>
      <w:r>
        <w:rPr>
          <w:i/>
          <w:iCs/>
          <w:color w:val="595959"/>
          <w:sz w:val="18"/>
          <w:szCs w:val="18"/>
        </w:rPr>
        <w:t xml:space="preserve">Sources: Economic Times (5 October 2026, via aggregator) — NHB refinance/affordable-housing funding expansion for large HFCs.</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NHB's own balance sheet remains strong, with a capital adequacy ratio of 43.94% as of 31 March 2026 and nil net NPAs, even as its net interest margin narrowed to 2.1% for the nine months to June 2026 from 2.4% a year earlier, per ICRA.</w:t>
      </w:r>
    </w:p>
    <w:p>
      <w:pPr>
        <w:pStyle w:val="ListParagraph"/>
        <w:numPr>
          <w:ilvl w:val="0"/>
          <w:numId w:val="2"/>
        </w:numPr>
        <w:spacing w:after="80"/>
      </w:pPr>
      <w:r>
        <w:rPr>
          <w:b w:val="false"/>
          <w:bCs w:val="false"/>
        </w:rPr>
        <w:t xml:space="preserve">Aptus Value Housing Finance corrected its earlier NHB funding-rate guidance to an effective 7.90%, down from an initially indicated 8.20-8.30% range, following concessions confirmed after its August 2026 earnings call.</w:t>
      </w:r>
    </w:p>
    <w:p>
      <w:pPr>
        <w:pStyle w:val="ListParagraph"/>
        <w:numPr>
          <w:ilvl w:val="0"/>
          <w:numId w:val="2"/>
        </w:numPr>
        <w:spacing w:after="80"/>
      </w:pPr>
      <w:r>
        <w:rPr>
          <w:b w:val="false"/>
          <w:bCs w:val="false"/>
        </w:rPr>
        <w:t xml:space="preserve">The narrowing net interest margin at NHB, even amid a strong capital position, suggests continued competitive pressure in the refinance market as more HFCs seek NHB funding lines alongside bank borrowing.</w:t>
      </w:r>
    </w:p>
    <w:p>
      <w:pPr>
        <w:spacing w:after="150"/>
      </w:pPr>
      <w:r>
        <w:rPr>
          <w:i/>
          <w:iCs/>
          <w:color w:val="595959"/>
          <w:sz w:val="18"/>
          <w:szCs w:val="18"/>
        </w:rPr>
        <w:t xml:space="preserve">Sources: ICRA rating report (NHB capital adequacy, NPAs, net interest margin); Investywise (Aptus Value Housing Finance NHB funding rate correction).</w:t>
      </w:r>
    </w:p>
    <w:p>
      <w:pPr>
        <w:pStyle w:val="Heading2"/>
        <w:spacing w:after="100" w:before="200"/>
      </w:pPr>
      <w:r>
        <w:rPr>
          <w:b/>
          <w:bCs/>
          <w:color w:val="C00000"/>
        </w:rPr>
        <w:t xml:space="preserve">National CREDAI &amp; RERA Updates</w:t>
      </w:r>
    </w:p>
    <w:p>
      <w:pPr>
        <w:pStyle w:val="ListParagraph"/>
        <w:numPr>
          <w:ilvl w:val="0"/>
          <w:numId w:val="2"/>
        </w:numPr>
        <w:spacing w:after="80"/>
      </w:pPr>
      <w:r>
        <w:rPr>
          <w:b w:val="false"/>
          <w:bCs w:val="false"/>
        </w:rPr>
        <w:t xml:space="preserve">CREDAI and NAREDCO are likely to welcome NHB's potential doubling of refinance and affordable-housing funding as a direct demand-side lever for affordable-segment credit availability, particularly for EWS and LIG homebuyers.</w:t>
      </w:r>
    </w:p>
    <w:p>
      <w:pPr>
        <w:pStyle w:val="ListParagraph"/>
        <w:numPr>
          <w:ilvl w:val="0"/>
          <w:numId w:val="2"/>
        </w:numPr>
        <w:spacing w:after="80"/>
      </w:pPr>
      <w:r>
        <w:rPr>
          <w:b w:val="false"/>
          <w:bCs w:val="false"/>
        </w:rPr>
        <w:t xml:space="preserve">Reduced large-HFC dependency on bank borrowing is expected to be viewed favourably by CREDAI and NAREDCO as a structural diversification of housing-finance liquidity sources heading into FY27.</w:t>
      </w:r>
    </w:p>
    <w:p>
      <w:pPr>
        <w:pStyle w:val="ListParagraph"/>
        <w:numPr>
          <w:ilvl w:val="0"/>
          <w:numId w:val="2"/>
        </w:numPr>
        <w:spacing w:after="80"/>
      </w:pPr>
      <w:r>
        <w:rPr>
          <w:b w:val="false"/>
          <w:bCs w:val="false"/>
        </w:rPr>
        <w:t xml:space="preserve">With NHB's margins narrowing even as capital adequacy stays strong, CREDAI and NAREDCO's housing-finance advocacy is likely to continue focusing on ensuring refinance costs remain competitive enough to pass affordability benefits through to end borrowers.</w:t>
      </w:r>
    </w:p>
    <w:p>
      <w:pPr>
        <w:spacing w:after="150"/>
      </w:pPr>
      <w:r>
        <w:rPr>
          <w:i/>
          <w:iCs/>
          <w:color w:val="595959"/>
          <w:sz w:val="18"/>
          <w:szCs w:val="18"/>
        </w:rPr>
        <w:t xml:space="preserve">Sources: Economic Times (via aggregator); ICRA rating report.</w:t>
      </w:r>
    </w:p>
    <w:p>
      <w:pPr>
        <w:pBdr>
          <w:top w:val="single" w:color="BFBFBF" w:sz="6" w:space="4"/>
        </w:pBdr>
        <w:spacing w:before="400"/>
      </w:pPr>
      <w:r>
        <w:rPr>
          <w:i/>
          <w:iCs/>
          <w:color w:val="595959"/>
          <w:sz w:val="16"/>
          <w:szCs w:val="16"/>
        </w:rPr>
        <w:t xml:space="preserve">Methodology note: This digest is compiled through web-based monitoring of real estate trade portals (ET Realty, Moneycontrol Real Estate/Property, Housing.com, Magicbricks, RealtyNXT, Realty Plus) and other business media, RERA authority orders/notices, and CREDAI communications. Some publisher sites restrict direct automated access; where that occurs, coverage is corroborated through secondary reporting and cited accordingly. Figures are the latest publicly available as of the digest date and should be independently verified before use in decision-making.</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2026-10-20T03:35:37.151Z</dcterms:created>
  <dcterms:modified xsi:type="dcterms:W3CDTF">2026-10-20T03:35:37.158Z</dcterms:modified>
</cp:coreProperties>
</file>

<file path=docProps/custom.xml><?xml version="1.0" encoding="utf-8"?>
<Properties xmlns="http://schemas.openxmlformats.org/officeDocument/2006/custom-properties" xmlns:vt="http://schemas.openxmlformats.org/officeDocument/2006/docPropsVTypes"/>
</file>