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8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Yelahanka (averaging ₹5,500 per sq ft in 2025) and Hennur Road (₹5,800 per sq ft) rank among Bengaluru's top investment corridors for 2025-26, both projected to see 7–9% annual price growth on the back of new tech hubs and improving connectivity.</w:t>
      </w:r>
    </w:p>
    <w:p>
      <w:pPr>
        <w:pStyle w:val="ListParagraph"/>
        <w:numPr>
          <w:ilvl w:val="0"/>
          <w:numId w:val="2"/>
        </w:numPr>
        <w:spacing w:after="80"/>
      </w:pPr>
      <w:r>
        <w:rPr>
          <w:b w:val="false"/>
          <w:bCs w:val="false"/>
        </w:rPr>
        <w:t xml:space="preserve">Hennur Main Road pricing has climbed to ₹3,643–6,321 per sq ft as of April 2026, with values up 10–28% over the past year, while 2 BHK entry points across Yelahanka and Hennur Road typically range ₹60 lakh to ₹1 crore.</w:t>
      </w:r>
    </w:p>
    <w:p>
      <w:pPr>
        <w:pStyle w:val="ListParagraph"/>
        <w:numPr>
          <w:ilvl w:val="0"/>
          <w:numId w:val="2"/>
        </w:numPr>
        <w:spacing w:after="80"/>
      </w:pPr>
      <w:r>
        <w:rPr>
          <w:b w:val="false"/>
          <w:bCs w:val="false"/>
        </w:rPr>
        <w:t xml:space="preserve">Hennur Road's direct airport connectivity via the existing road network, plus an upcoming Blue Line metro station under Phase 2B linking to the Outer Ring Road, continues to underpin the corridor's investment appeal.</w:t>
      </w:r>
    </w:p>
    <w:p>
      <w:pPr>
        <w:spacing w:after="150"/>
      </w:pPr>
      <w:r>
        <w:rPr>
          <w:i/>
          <w:iCs/>
          <w:color w:val="595959"/>
          <w:sz w:val="18"/>
          <w:szCs w:val="18"/>
        </w:rPr>
        <w:t xml:space="preserve">Sources: Ghar.tv (North Bangalore pricing, growth projections); Prestige Battersea/Prestige Windgates (Hennur Road pricing, Blue Line Phase 2B connectivity).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Mangaluru is emerging as coastal Karnataka's fastest-growing real estate hotspot, with the Bengaluru-Mangaluru Industrial Corridor, IT park expansion and tourism growth together projected to drive 20–25% appreciation in the coming years.</w:t>
      </w:r>
    </w:p>
    <w:p>
      <w:pPr>
        <w:pStyle w:val="ListParagraph"/>
        <w:numPr>
          <w:ilvl w:val="0"/>
          <w:numId w:val="2"/>
        </w:numPr>
        <w:spacing w:after="80"/>
      </w:pPr>
      <w:r>
        <w:rPr>
          <w:b w:val="false"/>
          <w:bCs w:val="false"/>
        </w:rPr>
        <w:t xml:space="preserve">Mangaluru's well-networked highways, growing airport and active port continue to support its transformation into a lower-cost alternative real estate and logistics hub relative to Bengaluru, with popular investment areas including Kadri, Bejai, Kottara, Kulshekar and Derebail.</w:t>
      </w:r>
    </w:p>
    <w:p>
      <w:pPr>
        <w:pStyle w:val="ListParagraph"/>
        <w:numPr>
          <w:ilvl w:val="0"/>
          <w:numId w:val="2"/>
        </w:numPr>
        <w:spacing w:after="80"/>
      </w:pPr>
      <w:r>
        <w:rPr>
          <w:b w:val="false"/>
          <w:bCs w:val="false"/>
        </w:rPr>
        <w:t xml:space="preserve">Low-density residential and mixed-use projects across Karnataka's coastal belt are appreciating faster than average — 12–18% annually — as limited comparable supply sustains scarcity-driven demand once such projects sell out.</w:t>
      </w:r>
    </w:p>
    <w:p>
      <w:pPr>
        <w:spacing w:after="150"/>
      </w:pPr>
      <w:r>
        <w:rPr>
          <w:i/>
          <w:iCs/>
          <w:color w:val="595959"/>
          <w:sz w:val="18"/>
          <w:szCs w:val="18"/>
        </w:rPr>
        <w:t xml:space="preserve">Sources: Rohan Corporation/LandTrades (Mangaluru hotspot, corridor growth); Ghar.tv (low-density project appreciation trend).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registration oversight is expected to extend further into coastal Karnataka as the Bengaluru-Mangaluru Industrial Corridor draws fresh developer interest to Mangaluru's established residential pockets.</w:t>
      </w:r>
    </w:p>
    <w:p>
      <w:pPr>
        <w:pStyle w:val="ListParagraph"/>
        <w:numPr>
          <w:ilvl w:val="0"/>
          <w:numId w:val="2"/>
        </w:numPr>
        <w:spacing w:after="80"/>
      </w:pPr>
      <w:r>
        <w:rPr>
          <w:b w:val="false"/>
          <w:bCs w:val="false"/>
        </w:rPr>
        <w:t xml:space="preserve">CREDAI Karnataka continues to track Hennur Road and Yelahanka's Blue Line Phase 2B-driven momentum alongside Mangaluru's industrial-corridor growth as parallel examples of infrastructure-anchored appreciation across the state.</w:t>
      </w:r>
    </w:p>
    <w:p>
      <w:pPr>
        <w:pStyle w:val="ListParagraph"/>
        <w:numPr>
          <w:ilvl w:val="0"/>
          <w:numId w:val="2"/>
        </w:numPr>
        <w:spacing w:after="80"/>
      </w:pPr>
      <w:r>
        <w:rPr>
          <w:b w:val="false"/>
          <w:bCs w:val="false"/>
        </w:rPr>
        <w:t xml:space="preserve">The statewide trend toward low-density projects delivering 12–18% annual appreciation is likely to keep Karnataka's regulatory bodies focused on transparent disclosure of density and unit-count norms across both Bengaluru and coastal launches.</w:t>
      </w:r>
    </w:p>
    <w:p>
      <w:pPr>
        <w:spacing w:after="150"/>
      </w:pPr>
      <w:r>
        <w:rPr>
          <w:i/>
          <w:iCs/>
          <w:color w:val="595959"/>
          <w:sz w:val="18"/>
          <w:szCs w:val="18"/>
        </w:rPr>
        <w:t xml:space="preserve">Sources: Prestige Battersea; Rohan Corporation/LandTrades; Ghar.tv.</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Warangal has emerged as the clear leader among Telangana's Tier-2 cities, with nearly 350 residential projects currently under development and 2 BHK apartments priced ₹50–60 lakh, 3 BHK units ₹80 lakh–1.2 crore, and land in prime areas like Balasamudram and Hunter Road reaching ₹1–2 lakh per square yard.</w:t>
      </w:r>
    </w:p>
    <w:p>
      <w:pPr>
        <w:pStyle w:val="ListParagraph"/>
        <w:numPr>
          <w:ilvl w:val="0"/>
          <w:numId w:val="2"/>
        </w:numPr>
        <w:spacing w:after="80"/>
      </w:pPr>
      <w:r>
        <w:rPr>
          <w:b w:val="false"/>
          <w:bCs w:val="false"/>
        </w:rPr>
        <w:t xml:space="preserve">The Warangal-Hanumakonda cluster has become Telangana's hottest residential-cum-industrial node, powered by the ₹1,695-crore Kakatiya Mega Textile Park — India's first operational PM MITRA park, spanning roughly 1,327 acres and inaugurated in May 2026.</w:t>
      </w:r>
    </w:p>
    <w:p>
      <w:pPr>
        <w:pStyle w:val="ListParagraph"/>
        <w:numPr>
          <w:ilvl w:val="0"/>
          <w:numId w:val="2"/>
        </w:numPr>
        <w:spacing w:after="80"/>
      </w:pPr>
      <w:r>
        <w:rPr>
          <w:b w:val="false"/>
          <w:bCs w:val="false"/>
        </w:rPr>
        <w:t xml:space="preserve">Telangana's May-June 2026 guideline-value revision raised registration values 10–30% statewide along the corridor, reflecting formal recognition of Tier-2 cities' rising land values as the textile park anchors fresh demand.</w:t>
      </w:r>
    </w:p>
    <w:p>
      <w:pPr>
        <w:spacing w:after="150"/>
      </w:pPr>
      <w:r>
        <w:rPr>
          <w:i/>
          <w:iCs/>
          <w:color w:val="595959"/>
          <w:sz w:val="18"/>
          <w:szCs w:val="18"/>
        </w:rPr>
        <w:t xml:space="preserve">Sources: Sakshi Post (Telangana Tier-2 growth, Warangal pricing); Ghar.tv (Kakatiya Mega Textile Park, guideline-value revision).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Nagpur-Vijayawada Economic Corridor — a 405-km, four-lane access-controlled highway costing approximately ₹14,600 crore under Bharatmala Phase-I and targeted for 2027 completion — is set to cut the Nagpur-Vijayawada drive from 14–15 hours to just 7–8 hours.</w:t>
      </w:r>
    </w:p>
    <w:p>
      <w:pPr>
        <w:pStyle w:val="ListParagraph"/>
        <w:numPr>
          <w:ilvl w:val="0"/>
          <w:numId w:val="2"/>
        </w:numPr>
        <w:spacing w:after="80"/>
      </w:pPr>
      <w:r>
        <w:rPr>
          <w:b w:val="false"/>
          <w:bCs w:val="false"/>
        </w:rPr>
        <w:t xml:space="preserve">Advertised plot prices around Warangal-Hanamkonda now range ₹1,600–5,000 per sq ft, with the Kakatiya Mega Textile Park serving as the single largest demand anchor for industrial and adjoining residential land in the cluster.</w:t>
      </w:r>
    </w:p>
    <w:p>
      <w:pPr>
        <w:pStyle w:val="ListParagraph"/>
        <w:numPr>
          <w:ilvl w:val="0"/>
          <w:numId w:val="2"/>
        </w:numPr>
        <w:spacing w:after="80"/>
      </w:pPr>
      <w:r>
        <w:rPr>
          <w:b w:val="false"/>
          <w:bCs w:val="false"/>
        </w:rPr>
        <w:t xml:space="preserve">The PM MITRA textile park format's first operational unit landing in Warangal signals a broader national manufacturing-real estate investment wave increasingly reaching South India's Tier-2 industrial nodes.</w:t>
      </w:r>
    </w:p>
    <w:p>
      <w:pPr>
        <w:spacing w:after="150"/>
      </w:pPr>
      <w:r>
        <w:rPr>
          <w:i/>
          <w:iCs/>
          <w:color w:val="595959"/>
          <w:sz w:val="18"/>
          <w:szCs w:val="18"/>
        </w:rPr>
        <w:t xml:space="preserve">Sources: Ghar.tv (Nagpur-Vijayawada corridor, Warangal-Hanamkonda plot pricing); Sakshi Post.</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Telangana's 10–30% guideline-value hike along the Nagpur-Vijayawada corridor gives CREDAI Telangana a fresh registration-cost dynamic to track as Warangal's Tier-2 growth accelerates alongside the textile park's continued ramp-up.</w:t>
      </w:r>
    </w:p>
    <w:p>
      <w:pPr>
        <w:pStyle w:val="ListParagraph"/>
        <w:numPr>
          <w:ilvl w:val="0"/>
          <w:numId w:val="2"/>
        </w:numPr>
        <w:spacing w:after="80"/>
      </w:pPr>
      <w:r>
        <w:rPr>
          <w:b w:val="false"/>
          <w:bCs w:val="false"/>
        </w:rPr>
        <w:t xml:space="preserve">With nearly 350 residential projects under development in Warangal alone, state regulators face a rapidly scaling registration and compliance pipeline outside Hyderabad for the first time at this magnitude.</w:t>
      </w:r>
    </w:p>
    <w:p>
      <w:pPr>
        <w:pStyle w:val="ListParagraph"/>
        <w:numPr>
          <w:ilvl w:val="0"/>
          <w:numId w:val="2"/>
        </w:numPr>
        <w:spacing w:after="80"/>
      </w:pPr>
      <w:r>
        <w:rPr>
          <w:b w:val="false"/>
          <w:bCs w:val="false"/>
        </w:rPr>
        <w:t xml:space="preserve">The Kakatiya Mega Textile Park's PM MITRA status is expected to draw continued state-central regulatory coordination on industrial land registration and environmental compliance across the Warangal-Hanumakonda belt.</w:t>
      </w:r>
    </w:p>
    <w:p>
      <w:pPr>
        <w:spacing w:after="150"/>
      </w:pPr>
      <w:r>
        <w:rPr>
          <w:i/>
          <w:iCs/>
          <w:color w:val="595959"/>
          <w:sz w:val="18"/>
          <w:szCs w:val="18"/>
        </w:rPr>
        <w:t xml:space="preserve">Sources: Sakshi Post; Ghar.tv.</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industrial and warehousing sector absorbed 34.8 million sq ft in H1 2026, up 2.4% YoY, with full-year 2026 leasing expected to cross 45 million sq ft as the segment continues its multi-year expansion.</w:t>
      </w:r>
    </w:p>
    <w:p>
      <w:pPr>
        <w:pStyle w:val="ListParagraph"/>
        <w:numPr>
          <w:ilvl w:val="0"/>
          <w:numId w:val="2"/>
        </w:numPr>
        <w:spacing w:after="80"/>
      </w:pPr>
      <w:r>
        <w:rPr>
          <w:b w:val="false"/>
          <w:bCs w:val="false"/>
        </w:rPr>
        <w:t xml:space="preserve">Manufacturing leads national warehousing demand at 30% of absorption, followed by 3PL (23%), FMCG/FMCD (18%) and e-commerce (10%) — though e-commerce's leasing share doubled YoY as quick-commerce firms increasingly need dense networks of last-mile fulfilment centres rather than single regional warehouses.</w:t>
      </w:r>
    </w:p>
    <w:p>
      <w:pPr>
        <w:pStyle w:val="ListParagraph"/>
        <w:numPr>
          <w:ilvl w:val="0"/>
          <w:numId w:val="2"/>
        </w:numPr>
        <w:spacing w:after="80"/>
      </w:pPr>
      <w:r>
        <w:rPr>
          <w:b w:val="false"/>
          <w:bCs w:val="false"/>
        </w:rPr>
        <w:t xml:space="preserve">Grade-A warehouses now account for 59% of total national absorption, up from 55% a year earlier, as ESG and compliance requirements push occupiers toward higher-quality, better-certified logistics real estate.</w:t>
      </w:r>
    </w:p>
    <w:p>
      <w:pPr>
        <w:spacing w:after="150"/>
      </w:pPr>
      <w:r>
        <w:rPr>
          <w:i/>
          <w:iCs/>
          <w:color w:val="595959"/>
          <w:sz w:val="18"/>
          <w:szCs w:val="18"/>
        </w:rPr>
        <w:t xml:space="preserve">Sources: CargoNet (H1 2026 industrial &amp; warehousing leasing, demand-driver breakdown); CBRE India/JLL (Grade-A absorption share).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Delhi-NCR remains India's top logistics hub with roughly 20% of national absorption, followed by Pune (17%) and Mumbai (16%), while Pune, Ahmedabad and Kolkata each recorded more than 30% annual growth in leasing activity.</w:t>
      </w:r>
    </w:p>
    <w:p>
      <w:pPr>
        <w:pStyle w:val="ListParagraph"/>
        <w:numPr>
          <w:ilvl w:val="0"/>
          <w:numId w:val="2"/>
        </w:numPr>
        <w:spacing w:after="80"/>
      </w:pPr>
      <w:r>
        <w:rPr>
          <w:b w:val="false"/>
          <w:bCs w:val="false"/>
        </w:rPr>
        <w:t xml:space="preserve">The sector's growth is being driven by explosive e-commerce and quick-commerce expansion, the China Plus One manufacturing strategy redirecting global supply chains to India, the National Logistics Policy and dedicated freight corridors, and the government's push to raise manufacturing's GDP share from 17% to 25% by 2035.</w:t>
      </w:r>
    </w:p>
    <w:p>
      <w:pPr>
        <w:pStyle w:val="ListParagraph"/>
        <w:numPr>
          <w:ilvl w:val="0"/>
          <w:numId w:val="2"/>
        </w:numPr>
        <w:spacing w:after="80"/>
      </w:pPr>
      <w:r>
        <w:rPr>
          <w:b w:val="false"/>
          <w:bCs w:val="false"/>
        </w:rPr>
        <w:t xml:space="preserve">Telangana's Kakatiya Mega Textile Park (India's first operational PM MITRA park) and the Nagpur-Vijayawada Economic Corridor both reflect this national warehousing and manufacturing investment wave increasingly reaching Tier-2 markets beyond metro logistics hubs.</w:t>
      </w:r>
    </w:p>
    <w:p>
      <w:pPr>
        <w:spacing w:after="150"/>
      </w:pPr>
      <w:r>
        <w:rPr>
          <w:i/>
          <w:iCs/>
          <w:color w:val="595959"/>
          <w:sz w:val="18"/>
          <w:szCs w:val="18"/>
        </w:rPr>
        <w:t xml:space="preserve">Sources: CargoNet; CBRE India (India Logistics Market Outlook 2026); Ghar.tv.</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Rising Grade-A warehouse absorption (59% share, up from 55% YoY) is prompting greater industry focus on ESG-compliant registration and disclosure standards for industrial and logistics real estate nationally.</w:t>
      </w:r>
    </w:p>
    <w:p>
      <w:pPr>
        <w:pStyle w:val="ListParagraph"/>
        <w:numPr>
          <w:ilvl w:val="0"/>
          <w:numId w:val="2"/>
        </w:numPr>
        <w:spacing w:after="80"/>
      </w:pPr>
      <w:r>
        <w:rPr>
          <w:b w:val="false"/>
          <w:bCs w:val="false"/>
        </w:rPr>
        <w:t xml:space="preserve">Telangana's Tier-2 guideline-value revisions around Warangal and Karnataka's coastal Mangaluru growth both illustrate how India's manufacturing and logistics boom is reshaping state-level registration priorities well beyond metro cores.</w:t>
      </w:r>
    </w:p>
    <w:p>
      <w:pPr>
        <w:pStyle w:val="ListParagraph"/>
        <w:numPr>
          <w:ilvl w:val="0"/>
          <w:numId w:val="2"/>
        </w:numPr>
        <w:spacing w:after="80"/>
      </w:pPr>
      <w:r>
        <w:rPr>
          <w:b w:val="false"/>
          <w:bCs w:val="false"/>
        </w:rPr>
        <w:t xml:space="preserve">CREDAI and NAREDCO are expected to continue advocating for streamlined industrial land registration processes nationally as warehousing and manufacturing real estate investment accelerates toward the government's 2035 manufacturing-GDP target.</w:t>
      </w:r>
    </w:p>
    <w:p>
      <w:pPr>
        <w:spacing w:after="150"/>
      </w:pPr>
      <w:r>
        <w:rPr>
          <w:i/>
          <w:iCs/>
          <w:color w:val="595959"/>
          <w:sz w:val="18"/>
          <w:szCs w:val="18"/>
        </w:rPr>
        <w:t xml:space="preserve">Sources: CargoNet; Sakshi Post/Ghar.tv; Rohan Corporation/LandTrades.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2026-09-08T03:41:10.240Z</dcterms:created>
  <dcterms:modified xsi:type="dcterms:W3CDTF">2026-09-08T03:41:10.256Z</dcterms:modified>
</cp:coreProperties>
</file>

<file path=docProps/custom.xml><?xml version="1.0" encoding="utf-8"?>
<Properties xmlns="http://schemas.openxmlformats.org/officeDocument/2006/custom-properties" xmlns:vt="http://schemas.openxmlformats.org/officeDocument/2006/docPropsVTypes"/>
</file>