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Friday, 18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Multiple stretches of Varthur Road and Sarjapur Road are undergoing widening to decongest traffic, with soil testing along Sarjapur Road underway since January 2026 — a strong signal that metro construction is approaching the corridor.</w:t>
      </w:r>
    </w:p>
    <w:p>
      <w:pPr>
        <w:pStyle w:val="ListParagraph"/>
        <w:numPr>
          <w:ilvl w:val="0"/>
          <w:numId w:val="2"/>
        </w:numPr>
        <w:spacing w:after="80"/>
      </w:pPr>
      <w:r>
        <w:rPr>
          <w:b w:val="false"/>
          <w:bCs w:val="false"/>
        </w:rPr>
        <w:t xml:space="preserve">Panathur Main Road has reopened to traffic after a prolonged closure for white-topping work, easing access to one of East Bengaluru's busiest connector roads at the intersection of the ORR tech belt and the Sarjapur corridor.</w:t>
      </w:r>
    </w:p>
    <w:p>
      <w:pPr>
        <w:pStyle w:val="ListParagraph"/>
        <w:numPr>
          <w:ilvl w:val="0"/>
          <w:numId w:val="2"/>
        </w:numPr>
        <w:spacing w:after="80"/>
      </w:pPr>
      <w:r>
        <w:rPr>
          <w:b w:val="false"/>
          <w:bCs w:val="false"/>
        </w:rPr>
        <w:t xml:space="preserve">Sobha Neopolis, a Greek-themed luxury development in Panathur targeting premium buyers, has RERA possession scheduled for June 2026, while Shriram Properties is preparing a premium project later in 2026 near the upcoming Dommasandra Metro Station, connecting Sarjapur, Varthur and Whitefield.</w:t>
      </w:r>
    </w:p>
    <w:p>
      <w:pPr>
        <w:spacing w:after="150"/>
      </w:pPr>
      <w:r>
        <w:rPr>
          <w:i/>
          <w:iCs/>
          <w:color w:val="595959"/>
          <w:sz w:val="18"/>
          <w:szCs w:val="18"/>
        </w:rPr>
        <w:t xml:space="preserve">Sources: Abheeventures (Varthur-Sarjapur Road infrastructure, Panathur Main Road reopening); Prestige Severgreen/Puravankara (Sobha Neopolis, Shriram Properties upcoming launch).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Namma Metro Phase 3's foundation stone, laid in August 2025, covers 44.65 km of new corridors expected to benefit Sarjapur Road by approximately 2028-30, reinforcing long-term commercial potential along the belt.</w:t>
      </w:r>
    </w:p>
    <w:p>
      <w:pPr>
        <w:pStyle w:val="ListParagraph"/>
        <w:numPr>
          <w:ilvl w:val="0"/>
          <w:numId w:val="2"/>
        </w:numPr>
        <w:spacing w:after="80"/>
      </w:pPr>
      <w:r>
        <w:rPr>
          <w:b w:val="false"/>
          <w:bCs w:val="false"/>
        </w:rPr>
        <w:t xml:space="preserve">Continued road-infrastructure upgrades — widening on Varthur and Sarjapur Roads, Panathur Main Road's reopening — are expected to sustain retail and commercial leasing interest across East Bengaluru's ORR-adjacent corridors.</w:t>
      </w:r>
    </w:p>
    <w:p>
      <w:pPr>
        <w:pStyle w:val="ListParagraph"/>
        <w:numPr>
          <w:ilvl w:val="0"/>
          <w:numId w:val="2"/>
        </w:numPr>
        <w:spacing w:after="80"/>
      </w:pPr>
      <w:r>
        <w:rPr>
          <w:b w:val="false"/>
          <w:bCs w:val="false"/>
        </w:rPr>
        <w:t xml:space="preserve">Premium launches like Sobha Neopolis and Shriram Properties' upcoming Dommasandra-linked project reflect continued developer confidence in the Sarjapur-Varthur-Panathur belt despite years of relative under-investment.</w:t>
      </w:r>
    </w:p>
    <w:p>
      <w:pPr>
        <w:spacing w:after="150"/>
      </w:pPr>
      <w:r>
        <w:rPr>
          <w:i/>
          <w:iCs/>
          <w:color w:val="595959"/>
          <w:sz w:val="18"/>
          <w:szCs w:val="18"/>
        </w:rPr>
        <w:t xml:space="preserve">Sources: Abheeventures; Prestige Severgreen/Puravankara.</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The Greater Bengaluru Authority's ward delimitation has expanded the earlier 198 BBMP wards to 369 across five new city corporations, reshaping which civic body will handle building-plan approvals for Sarjapur, Varthur and Panathur developments.</w:t>
      </w:r>
    </w:p>
    <w:p>
      <w:pPr>
        <w:pStyle w:val="ListParagraph"/>
        <w:numPr>
          <w:ilvl w:val="0"/>
          <w:numId w:val="2"/>
        </w:numPr>
        <w:spacing w:after="80"/>
      </w:pPr>
      <w:r>
        <w:rPr>
          <w:b w:val="false"/>
          <w:bCs w:val="false"/>
        </w:rPr>
        <w:t xml:space="preserve">GBA's new property-tax penalty structure — 2% monthly compounding plus 15% simple interest on dues outstanding after 30 June 2026, alongside a 5% early-payment rebate extended to 31 May 2026 — requires close attention from developers and buyers alike.</w:t>
      </w:r>
    </w:p>
    <w:p>
      <w:pPr>
        <w:pStyle w:val="ListParagraph"/>
        <w:numPr>
          <w:ilvl w:val="0"/>
          <w:numId w:val="2"/>
        </w:numPr>
        <w:spacing w:after="80"/>
      </w:pPr>
      <w:r>
        <w:rPr>
          <w:b w:val="false"/>
          <w:bCs w:val="false"/>
        </w:rPr>
        <w:t xml:space="preserve">CREDAI Karnataka continues to track premium launches like Sobha Neopolis and Shriram Properties' upcoming project as evidence of sustained developer confidence even amid GBA's ongoing administrative transition.</w:t>
      </w:r>
    </w:p>
    <w:p>
      <w:pPr>
        <w:spacing w:after="150"/>
      </w:pPr>
      <w:r>
        <w:rPr>
          <w:i/>
          <w:iCs/>
          <w:color w:val="595959"/>
          <w:sz w:val="18"/>
          <w:szCs w:val="18"/>
        </w:rPr>
        <w:t xml:space="preserve">Sources: Brigade Group (GBA ward delimitation); HomeFirst India (GBA property-tax penalty structure); Abheeventures.</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Property prices in the Amaravati capital region, which had dropped below ₹20,000 per square yard, have already doubled within just six months as construction activity resumes across Andhra Pradesh's capital.</w:t>
      </w:r>
    </w:p>
    <w:p>
      <w:pPr>
        <w:pStyle w:val="ListParagraph"/>
        <w:numPr>
          <w:ilvl w:val="0"/>
          <w:numId w:val="2"/>
        </w:numPr>
        <w:spacing w:after="80"/>
      </w:pPr>
      <w:r>
        <w:rPr>
          <w:b w:val="false"/>
          <w:bCs w:val="false"/>
        </w:rPr>
        <w:t xml:space="preserve">Developers in Tadepalli, Undavalli and Mangalagiri are reporting land appreciation of ₹40,000-60,000 per square yard, reflecting a sharp revival in buyer and investor sentiment across the wider capital-region belt.</w:t>
      </w:r>
    </w:p>
    <w:p>
      <w:pPr>
        <w:pStyle w:val="ListParagraph"/>
        <w:numPr>
          <w:ilvl w:val="0"/>
          <w:numId w:val="2"/>
        </w:numPr>
        <w:spacing w:after="80"/>
      </w:pPr>
      <w:r>
        <w:rPr>
          <w:b w:val="false"/>
          <w:bCs w:val="false"/>
        </w:rPr>
        <w:t xml:space="preserve">PM Narendra Modi's ceremonial relaunch of Amaravati's construction in May 2025 inaugurated infrastructure projects worth over ₹58,000 crore statewide, providing the catalyst behind the capital region's accelerating real estate turnaround.</w:t>
      </w:r>
    </w:p>
    <w:p>
      <w:pPr>
        <w:spacing w:after="150"/>
      </w:pPr>
      <w:r>
        <w:rPr>
          <w:i/>
          <w:iCs/>
          <w:color w:val="595959"/>
          <w:sz w:val="18"/>
          <w:szCs w:val="18"/>
        </w:rPr>
        <w:t xml:space="preserve">Sources: Aparna Constructions (Amaravati current scenario); GreatAndhra/Aurumproptech (Amaravati price doubling, Tadepalli/Undavalli/Mangalagiri appreciation, ₹58,000-crore infrastructure relaunch).</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With construction work resuming, realtors are approaching fresh investments cautiously, watching the pace of outer ring road, bypass highway and underground drainage system completion before making major financial commitments.</w:t>
      </w:r>
    </w:p>
    <w:p>
      <w:pPr>
        <w:pStyle w:val="ListParagraph"/>
        <w:numPr>
          <w:ilvl w:val="0"/>
          <w:numId w:val="2"/>
        </w:numPr>
        <w:spacing w:after="80"/>
      </w:pPr>
      <w:r>
        <w:rPr>
          <w:b w:val="false"/>
          <w:bCs w:val="false"/>
        </w:rPr>
        <w:t xml:space="preserve">The Amaravati region continues to be exempted from Andhra Pradesh's February 2025 land-registration-charge hike, a deliberate fiscal lever aimed at sustaining investor momentum in the capital region even as prices rise sharply.</w:t>
      </w:r>
    </w:p>
    <w:p>
      <w:pPr>
        <w:pStyle w:val="ListParagraph"/>
        <w:numPr>
          <w:ilvl w:val="0"/>
          <w:numId w:val="2"/>
        </w:numPr>
        <w:spacing w:after="80"/>
      </w:pPr>
      <w:r>
        <w:rPr>
          <w:b w:val="false"/>
          <w:bCs w:val="false"/>
        </w:rPr>
        <w:t xml:space="preserve">Continued capital-region infrastructure build-out — ORRs, bypass highways, drainage systems — is expected to underpin longer-term commercial confidence in Amaravati even as near-term investor caution persists.</w:t>
      </w:r>
    </w:p>
    <w:p>
      <w:pPr>
        <w:spacing w:after="150"/>
      </w:pPr>
      <w:r>
        <w:rPr>
          <w:i/>
          <w:iCs/>
          <w:color w:val="595959"/>
          <w:sz w:val="18"/>
          <w:szCs w:val="18"/>
        </w:rPr>
        <w:t xml:space="preserve">Sources: GreatAndhra/Aurumproptech; Aparna Constructions.</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Amaravati's six-month price doubling is likely to draw CREDAI Andhra Pradesh's attention to speculative-pricing risk even as the underlying revival remains anchored in genuine, large-scale infrastructure investment.</w:t>
      </w:r>
    </w:p>
    <w:p>
      <w:pPr>
        <w:pStyle w:val="ListParagraph"/>
        <w:numPr>
          <w:ilvl w:val="0"/>
          <w:numId w:val="2"/>
        </w:numPr>
        <w:spacing w:after="80"/>
      </w:pPr>
      <w:r>
        <w:rPr>
          <w:b w:val="false"/>
          <w:bCs w:val="false"/>
        </w:rPr>
        <w:t xml:space="preserve">The state's continued registration-charge exemption for Amaravati gives CREDAI AP a distinct fiscal lever to track relative to non-exempt zones elsewhere in the state.</w:t>
      </w:r>
    </w:p>
    <w:p>
      <w:pPr>
        <w:pStyle w:val="ListParagraph"/>
        <w:numPr>
          <w:ilvl w:val="0"/>
          <w:numId w:val="2"/>
        </w:numPr>
        <w:spacing w:after="80"/>
      </w:pPr>
      <w:r>
        <w:rPr>
          <w:b w:val="false"/>
          <w:bCs w:val="false"/>
        </w:rPr>
        <w:t xml:space="preserve">CREDAI AP members are likely to monitor the pace of ORR, bypass-highway and drainage-system completion as the key signal for scaling up new project registrations across the capital region.</w:t>
      </w:r>
    </w:p>
    <w:p>
      <w:pPr>
        <w:spacing w:after="150"/>
      </w:pPr>
      <w:r>
        <w:rPr>
          <w:i/>
          <w:iCs/>
          <w:color w:val="595959"/>
          <w:sz w:val="18"/>
          <w:szCs w:val="18"/>
        </w:rPr>
        <w:t xml:space="preserve">Sources: GreatAndhra/Aurumproptech; Aparna Constructions.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Union Budget 2026 rationalised the tax treatment of REIT distributions for retail investors and reduced the Minimum Alternate Tax (MAT) from 15% to 14% effective 1 April 2026, alongside revised MAT credit rules encouraging migration to the new tax regime.</w:t>
      </w:r>
    </w:p>
    <w:p>
      <w:pPr>
        <w:pStyle w:val="ListParagraph"/>
        <w:numPr>
          <w:ilvl w:val="0"/>
          <w:numId w:val="2"/>
        </w:numPr>
        <w:spacing w:after="80"/>
      </w:pPr>
      <w:r>
        <w:rPr>
          <w:b w:val="false"/>
          <w:bCs w:val="false"/>
        </w:rPr>
        <w:t xml:space="preserve">Affordable and mid-income housing segments remain the primary beneficiaries of Budget 2026's provisions, anchored by continued PMAY-Urban progress and improved suburban connectivity investment nationally.</w:t>
      </w:r>
    </w:p>
    <w:p>
      <w:pPr>
        <w:pStyle w:val="ListParagraph"/>
        <w:numPr>
          <w:ilvl w:val="0"/>
          <w:numId w:val="2"/>
        </w:numPr>
        <w:spacing w:after="80"/>
      </w:pPr>
      <w:r>
        <w:rPr>
          <w:b w:val="false"/>
          <w:bCs w:val="false"/>
        </w:rPr>
        <w:t xml:space="preserve">Budget 2026 floated potential rental-housing tax incentives, including exemptions on rental income up to approximately ₹3 lakh for affordable housing properties, aimed at encouraging institutional and individual investment in rental stock.</w:t>
      </w:r>
    </w:p>
    <w:p>
      <w:pPr>
        <w:spacing w:after="150"/>
      </w:pPr>
      <w:r>
        <w:rPr>
          <w:i/>
          <w:iCs/>
          <w:color w:val="595959"/>
          <w:sz w:val="18"/>
          <w:szCs w:val="18"/>
        </w:rPr>
        <w:t xml:space="preserve">Sources: Brigade Group (Union Budget 2026 real estate impact); Star Estate/REMI Blogs (REIT taxation, MAT reduction, rental housing incentives).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The Union Budget 2026 raised capital expenditure to ₹12.2 lakh crore, with a significant share directed toward urban infrastructure, transport networks, highways, railways and economic corridors nationally.</w:t>
      </w:r>
    </w:p>
    <w:p>
      <w:pPr>
        <w:pStyle w:val="ListParagraph"/>
        <w:numPr>
          <w:ilvl w:val="0"/>
          <w:numId w:val="2"/>
        </w:numPr>
        <w:spacing w:after="80"/>
      </w:pPr>
      <w:r>
        <w:rPr>
          <w:b w:val="false"/>
          <w:bCs w:val="false"/>
        </w:rPr>
        <w:t xml:space="preserve">Overall, Budget 2026 reflects a period of policy consolidation rather than structural reform, maintaining and incrementally expanding key schemes like PMAY-Urban and the capex programme rather than redesigning them.</w:t>
      </w:r>
    </w:p>
    <w:p>
      <w:pPr>
        <w:pStyle w:val="ListParagraph"/>
        <w:numPr>
          <w:ilvl w:val="0"/>
          <w:numId w:val="2"/>
        </w:numPr>
        <w:spacing w:after="80"/>
      </w:pPr>
      <w:r>
        <w:rPr>
          <w:b w:val="false"/>
          <w:bCs w:val="false"/>
        </w:rPr>
        <w:t xml:space="preserve">Continued capex-led infrastructure investment nationally reinforces the same growth drivers already visible in Andhra Pradesh's Amaravati build-out and Karnataka's ongoing metro expansion.</w:t>
      </w:r>
    </w:p>
    <w:p>
      <w:pPr>
        <w:spacing w:after="150"/>
      </w:pPr>
      <w:r>
        <w:rPr>
          <w:i/>
          <w:iCs/>
          <w:color w:val="595959"/>
          <w:sz w:val="18"/>
          <w:szCs w:val="18"/>
        </w:rPr>
        <w:t xml:space="preserve">Sources: Star Estate/REMI Blogs; Brigade Group.</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welcome the REIT taxation rationalisation and MAT reduction as incremental wins, even as they continue pushing for a redefined affordable-housing threshold and higher home-loan interest deductions.</w:t>
      </w:r>
    </w:p>
    <w:p>
      <w:pPr>
        <w:pStyle w:val="ListParagraph"/>
        <w:numPr>
          <w:ilvl w:val="0"/>
          <w:numId w:val="2"/>
        </w:numPr>
        <w:spacing w:after="80"/>
      </w:pPr>
      <w:r>
        <w:rPr>
          <w:b w:val="false"/>
          <w:bCs w:val="false"/>
        </w:rPr>
        <w:t xml:space="preserve">Karnataka's GBA ward delimitation and property-tax penalty restructuring, alongside Andhra Pradesh's continued Amaravati registration-charge exemption, illustrate how state-level administrative and fiscal levers continue to shape real estate investment nationally.</w:t>
      </w:r>
    </w:p>
    <w:p>
      <w:pPr>
        <w:pStyle w:val="ListParagraph"/>
        <w:numPr>
          <w:ilvl w:val="0"/>
          <w:numId w:val="2"/>
        </w:numPr>
        <w:spacing w:after="80"/>
      </w:pPr>
      <w:r>
        <w:rPr>
          <w:b w:val="false"/>
          <w:bCs w:val="false"/>
        </w:rPr>
        <w:t xml:space="preserve">The Budget's ₹12.2-lakh-crore capex push, with its urban-infrastructure and economic-corridor focus, is expected to reinforce long-term registration and investment confidence across both metro and capital-region markets nationally.</w:t>
      </w:r>
    </w:p>
    <w:p>
      <w:pPr>
        <w:spacing w:after="150"/>
      </w:pPr>
      <w:r>
        <w:rPr>
          <w:i/>
          <w:iCs/>
          <w:color w:val="595959"/>
          <w:sz w:val="18"/>
          <w:szCs w:val="18"/>
        </w:rPr>
        <w:t xml:space="preserve">Sources: Star Estate/REMI Blogs; Brigade Group; HomeFirst India.</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2026-09-18T03:39:48.266Z</dcterms:created>
  <dcterms:modified xsi:type="dcterms:W3CDTF">2026-09-18T03:39:48.275Z</dcterms:modified>
</cp:coreProperties>
</file>

<file path=docProps/custom.xml><?xml version="1.0" encoding="utf-8"?>
<Properties xmlns="http://schemas.openxmlformats.org/officeDocument/2006/custom-properties" xmlns:vt="http://schemas.openxmlformats.org/officeDocument/2006/docPropsVTypes"/>
</file>