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14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Jayanagar's average residential pricing stands at roughly ₹23,316 per sq ft as of August 2026 listing data, making it one of Bengaluru's priciest established localities, with a separate project-level comparison putting the average closer to ₹19,400 per sq ft.</w:t>
      </w:r>
    </w:p>
    <w:p>
      <w:pPr>
        <w:pStyle w:val="ListParagraph"/>
        <w:numPr>
          <w:ilvl w:val="0"/>
          <w:numId w:val="2"/>
        </w:numPr>
        <w:spacing w:after="80"/>
      </w:pPr>
      <w:r>
        <w:rPr>
          <w:b w:val="false"/>
          <w:bCs w:val="false"/>
        </w:rPr>
        <w:t xml:space="preserve">JP Nagar averages around ₹11,700 per sq ft on a comparable-project basis, with a separate five-year-growth reading showing a cumulative 56.3% rise in the locality, well ahead of Jayanagar's comparable 35.7% five-year gain.</w:t>
      </w:r>
    </w:p>
    <w:p>
      <w:pPr>
        <w:pStyle w:val="ListParagraph"/>
        <w:numPr>
          <w:ilvl w:val="0"/>
          <w:numId w:val="2"/>
        </w:numPr>
        <w:spacing w:after="80"/>
      </w:pPr>
      <w:r>
        <w:rPr>
          <w:b w:val="false"/>
          <w:bCs w:val="false"/>
        </w:rPr>
        <w:t xml:space="preserve">Citywide, Bengaluru logged 12,664 residential units sold in Q1 2026, up 4% both quarter-on-quarter and year-on-year per Cushman &amp; Wakefield, while Knight Frank ranked the city 4th among 46 global cities for prime housing price appreciation at 10.2%.</w:t>
      </w:r>
    </w:p>
    <w:p>
      <w:pPr>
        <w:spacing w:after="150"/>
      </w:pPr>
      <w:r>
        <w:rPr>
          <w:i/>
          <w:iCs/>
          <w:color w:val="595959"/>
          <w:sz w:val="18"/>
          <w:szCs w:val="18"/>
        </w:rPr>
        <w:t xml:space="preserve">Sources: NoBroker (Jayanagar August 2026 pricing); Square Yards/Homebazaar (JP Nagar, Jayanagar comparable pricing and 5-year growth); Sobha/Cushman &amp; Wakefield, Knight Frank (Q1 2026 citywide sales, global prime-price ranking).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Rajajinagar is seeing a reported 13% rise in housing demand near its metro zones, according to developer-sourced commentary, as the corridor's metro connectivity continues to draw buyer interest in Central-West Bengaluru.</w:t>
      </w:r>
    </w:p>
    <w:p>
      <w:pPr>
        <w:pStyle w:val="ListParagraph"/>
        <w:numPr>
          <w:ilvl w:val="0"/>
          <w:numId w:val="2"/>
        </w:numPr>
        <w:spacing w:after="80"/>
      </w:pPr>
      <w:r>
        <w:rPr>
          <w:b w:val="false"/>
          <w:bCs w:val="false"/>
        </w:rPr>
        <w:t xml:space="preserve">Bengaluru's prime-segment price appreciation of 10.2% in Knight Frank's global ranking reflects sustained premium-housing demand even as overall citywide unit growth remains a more modest single digit.</w:t>
      </w:r>
    </w:p>
    <w:p>
      <w:pPr>
        <w:pStyle w:val="ListParagraph"/>
        <w:numPr>
          <w:ilvl w:val="0"/>
          <w:numId w:val="2"/>
        </w:numPr>
        <w:spacing w:after="80"/>
      </w:pPr>
      <w:r>
        <w:rPr>
          <w:b w:val="false"/>
          <w:bCs w:val="false"/>
        </w:rPr>
        <w:t xml:space="preserve">Continued steady quarter-on-quarter sales growth in Q1 2026 suggests Bengaluru's broader commercial and residential absorption is holding up despite wide divergence in locality-level pricing data across portals.</w:t>
      </w:r>
    </w:p>
    <w:p>
      <w:pPr>
        <w:spacing w:after="150"/>
      </w:pPr>
      <w:r>
        <w:rPr>
          <w:i/>
          <w:iCs/>
          <w:color w:val="595959"/>
          <w:sz w:val="18"/>
          <w:szCs w:val="18"/>
        </w:rPr>
        <w:t xml:space="preserve">Sources: Sobha (Rajajinagar metro-driven demand); Knight Frank; Cushman &amp; Wakefield.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 has flagged a roughly 60% drop in property registrations and an estimated ₹8,000 crore revenue shortfall for the city's developers since the BBMP made online e-khata mandatory for new registrations and resales, and has asked the government for a phased rollout.</w:t>
      </w:r>
    </w:p>
    <w:p>
      <w:pPr>
        <w:pStyle w:val="ListParagraph"/>
        <w:numPr>
          <w:ilvl w:val="0"/>
          <w:numId w:val="2"/>
        </w:numPr>
        <w:spacing w:after="80"/>
      </w:pPr>
      <w:r>
        <w:rPr>
          <w:b w:val="false"/>
          <w:bCs w:val="false"/>
        </w:rPr>
        <w:t xml:space="preserve">CREDAI Bengaluru has separately urged the state government to restore the earlier ₹10 lakh cap on stamp duty for title deed deposit and mortgage deeds, arguing the recent stamp duty increase has hit the sector disproportionately.</w:t>
      </w:r>
    </w:p>
    <w:p>
      <w:pPr>
        <w:pStyle w:val="ListParagraph"/>
        <w:numPr>
          <w:ilvl w:val="0"/>
          <w:numId w:val="2"/>
        </w:numPr>
        <w:spacing w:after="80"/>
      </w:pPr>
      <w:r>
        <w:rPr>
          <w:b w:val="false"/>
          <w:bCs w:val="false"/>
        </w:rPr>
        <w:t xml:space="preserve">CREDAI Bengaluru's broader reform push includes a proposed single-window clearance system for NOCs and faster plan approvals, under the leadership of CREDAI Karnataka president Bhaskar T. Nagendrappa (2025-27 term).</w:t>
      </w:r>
    </w:p>
    <w:p>
      <w:pPr>
        <w:spacing w:after="150"/>
      </w:pPr>
      <w:r>
        <w:rPr>
          <w:i/>
          <w:iCs/>
          <w:color w:val="595959"/>
          <w:sz w:val="18"/>
          <w:szCs w:val="18"/>
        </w:rPr>
        <w:t xml:space="preserve">Sources: Deccan Herald (e-khata registration drop, revenue shortfall); Construction World (stamp duty cap request); Therealtytoday/Realtynmore (single-window clearance proposal, CREDAI Karnataka leadership).</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Tribeca Developers is set to launch Trump Towers Hyderabad in October 2026 — a 4-acre, twin 65-storey tower development on Golden Mile Road in Kokapet — with homes priced from roughly ₹5 crore and penthouses up to ₹18 crore, in partnership with Ira Realty.</w:t>
      </w:r>
    </w:p>
    <w:p>
      <w:pPr>
        <w:pStyle w:val="ListParagraph"/>
        <w:numPr>
          <w:ilvl w:val="0"/>
          <w:numId w:val="2"/>
        </w:numPr>
        <w:spacing w:after="80"/>
      </w:pPr>
      <w:r>
        <w:rPr>
          <w:b w:val="false"/>
          <w:bCs w:val="false"/>
        </w:rPr>
        <w:t xml:space="preserve">Brigade Enterprises is separately developing a premium residential project on a 5.6-acre joint-venture site in Kompally, Hyderabad, with an estimated revenue potential of ₹850 crore, though unit mix and pricing remain undisclosed.</w:t>
      </w:r>
    </w:p>
    <w:p>
      <w:pPr>
        <w:pStyle w:val="ListParagraph"/>
        <w:numPr>
          <w:ilvl w:val="0"/>
          <w:numId w:val="2"/>
        </w:numPr>
        <w:spacing w:after="80"/>
      </w:pPr>
      <w:r>
        <w:rPr>
          <w:b w:val="false"/>
          <w:bCs w:val="false"/>
        </w:rPr>
        <w:t xml:space="preserve">Prestige Group has a further Kompally launch slated for mid-December 2026, adding to a crowded premium-to-luxury pipeline building up across Hyderabad's northern and western growth corridors through the rest of the year.</w:t>
      </w:r>
    </w:p>
    <w:p>
      <w:pPr>
        <w:spacing w:after="150"/>
      </w:pPr>
      <w:r>
        <w:rPr>
          <w:i/>
          <w:iCs/>
          <w:color w:val="595959"/>
          <w:sz w:val="18"/>
          <w:szCs w:val="18"/>
        </w:rPr>
        <w:t xml:space="preserve">Sources: BusinessToday (Trump Towers Hyderabad October 2026 launch); mycpd2.moh.gov.my syndicated wire (Brigade Enterprises Kompally project); Housiey (Hyderabad 2026 new-launch pipeline).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Trump Towers Hyderabad launch, with Eric Trump expected to attend the ceremony, underscores continued high-profile international branded-residence interest in the Kokapet micro-market alongside existing precedents in the corridor.</w:t>
      </w:r>
    </w:p>
    <w:p>
      <w:pPr>
        <w:pStyle w:val="ListParagraph"/>
        <w:numPr>
          <w:ilvl w:val="0"/>
          <w:numId w:val="2"/>
        </w:numPr>
        <w:spacing w:after="80"/>
      </w:pPr>
      <w:r>
        <w:rPr>
          <w:b w:val="false"/>
          <w:bCs w:val="false"/>
        </w:rPr>
        <w:t xml:space="preserve">Brigade's and Prestige's near-simultaneous Kompally pipeline additions point to sustained listed-developer confidence in Hyderabad's northern growth belt even as specific project economics remain only partially disclosed.</w:t>
      </w:r>
    </w:p>
    <w:p>
      <w:pPr>
        <w:pStyle w:val="ListParagraph"/>
        <w:numPr>
          <w:ilvl w:val="0"/>
          <w:numId w:val="2"/>
        </w:numPr>
        <w:spacing w:after="80"/>
      </w:pPr>
      <w:r>
        <w:rPr>
          <w:b w:val="false"/>
          <w:bCs w:val="false"/>
        </w:rPr>
        <w:t xml:space="preserve">The scale of joint-venture and revenue-sharing structures used across these Hyderabad launches (5.6-acre JV, 4-acre branded-residence site) reflects a continued shift toward asset-light development models among major developers in the city.</w:t>
      </w:r>
    </w:p>
    <w:p>
      <w:pPr>
        <w:spacing w:after="150"/>
      </w:pPr>
      <w:r>
        <w:rPr>
          <w:i/>
          <w:iCs/>
          <w:color w:val="595959"/>
          <w:sz w:val="18"/>
          <w:szCs w:val="18"/>
        </w:rPr>
        <w:t xml:space="preserve">Sources: BusinessToday; mycpd2.moh.gov.my syndicated wire; Housiey.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view the Trump Towers Hyderabad launch as a strong signal of deepening global brand and institutional confidence in the city's luxury residential segment ahead of the October ceremony.</w:t>
      </w:r>
    </w:p>
    <w:p>
      <w:pPr>
        <w:pStyle w:val="ListParagraph"/>
        <w:numPr>
          <w:ilvl w:val="0"/>
          <w:numId w:val="2"/>
        </w:numPr>
        <w:spacing w:after="80"/>
      </w:pPr>
      <w:r>
        <w:rPr>
          <w:b w:val="false"/>
          <w:bCs w:val="false"/>
        </w:rPr>
        <w:t xml:space="preserve">With Brigade, Prestige and Tribeca/Ira Realty all advancing large Hyderabad launches through Q4 2026, Telangana RERA registration activity is expected to pick up as these projects move from announcement to formal filing.</w:t>
      </w:r>
    </w:p>
    <w:p>
      <w:pPr>
        <w:pStyle w:val="ListParagraph"/>
        <w:numPr>
          <w:ilvl w:val="0"/>
          <w:numId w:val="2"/>
        </w:numPr>
        <w:spacing w:after="80"/>
      </w:pPr>
      <w:r>
        <w:rPr>
          <w:b w:val="false"/>
          <w:bCs w:val="false"/>
        </w:rPr>
        <w:t xml:space="preserve">CREDAI Telangana members are likely to monitor how the JV and revenue-sharing structures behind these launches are disclosed under RERA's project-registration norms, given the limited unit-mix and pricing detail released so far.</w:t>
      </w:r>
    </w:p>
    <w:p>
      <w:pPr>
        <w:spacing w:after="150"/>
      </w:pPr>
      <w:r>
        <w:rPr>
          <w:i/>
          <w:iCs/>
          <w:color w:val="595959"/>
          <w:sz w:val="18"/>
          <w:szCs w:val="18"/>
        </w:rPr>
        <w:t xml:space="preserve">Sources: BusinessToday; mycpd2.moh.gov.my syndicated wire; Housiey.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Anarock reported Q3 2026 (July-September) housing sales across India's top seven cities rose 3% YoY to roughly 1,00,220 units, with sales value up 2% to ₹1.55 lakh crore and average prices rising 7% annually.</w:t>
      </w:r>
    </w:p>
    <w:p>
      <w:pPr>
        <w:pStyle w:val="ListParagraph"/>
        <w:numPr>
          <w:ilvl w:val="0"/>
          <w:numId w:val="2"/>
        </w:numPr>
        <w:spacing w:after="80"/>
      </w:pPr>
      <w:r>
        <w:rPr>
          <w:b w:val="false"/>
          <w:bCs w:val="false"/>
        </w:rPr>
        <w:t xml:space="preserve">MMR led Q3 2026 sales with about 31,750 units, followed by Bengaluru at roughly 16,670 units, while Pune, Delhi-NCR, Chennai and Kolkata all recorded declines over the same period.</w:t>
      </w:r>
    </w:p>
    <w:p>
      <w:pPr>
        <w:pStyle w:val="ListParagraph"/>
        <w:numPr>
          <w:ilvl w:val="0"/>
          <w:numId w:val="2"/>
        </w:numPr>
        <w:spacing w:after="80"/>
      </w:pPr>
      <w:r>
        <w:rPr>
          <w:b w:val="false"/>
          <w:bCs w:val="false"/>
        </w:rPr>
        <w:t xml:space="preserve">Knight Frank's broader nine-month (January-September 2026) reading across eight major markets showed sales holding steady at 2,58,238 units, roughly flat YoY, with NCR the only major market posting a decline, down 11% to 35,574 units.</w:t>
      </w:r>
    </w:p>
    <w:p>
      <w:pPr>
        <w:spacing w:after="150"/>
      </w:pPr>
      <w:r>
        <w:rPr>
          <w:i/>
          <w:iCs/>
          <w:color w:val="595959"/>
          <w:sz w:val="18"/>
          <w:szCs w:val="18"/>
        </w:rPr>
        <w:t xml:space="preserve">Sources: BusinessToday/Anarock (Q3 2026 top-7-city sales, city-wise breakdown); Free Press Journal/Knight Frank (9M 2026 eight-market sales, NCR decline).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Anarock recorded a 12% YoY rise in unsold housing stock to about 6.31 lakh units nationally in Q3 2026, even as new launches across the top seven cities jumped 18% YoY to roughly 1,14,320 units.</w:t>
      </w:r>
    </w:p>
    <w:p>
      <w:pPr>
        <w:pStyle w:val="ListParagraph"/>
        <w:numPr>
          <w:ilvl w:val="0"/>
          <w:numId w:val="2"/>
        </w:numPr>
        <w:spacing w:after="80"/>
      </w:pPr>
      <w:r>
        <w:rPr>
          <w:b w:val="false"/>
          <w:bCs w:val="false"/>
        </w:rPr>
        <w:t xml:space="preserve">Knight Frank separately reported nine-month 2026 launches of 92,549 units in Q3 alone, up 4% YoY, with its chairman describing the overall market trend as normalisation rather than a broad-based slowdown.</w:t>
      </w:r>
    </w:p>
    <w:p>
      <w:pPr>
        <w:pStyle w:val="ListParagraph"/>
        <w:numPr>
          <w:ilvl w:val="0"/>
          <w:numId w:val="2"/>
        </w:numPr>
        <w:spacing w:after="80"/>
      </w:pPr>
      <w:r>
        <w:rPr>
          <w:b w:val="false"/>
          <w:bCs w:val="false"/>
        </w:rPr>
        <w:t xml:space="preserve">A third data source, PropEquity, reported Q3 2026 sales falling 6% to roughly 103,000 units — a notable contrast to Anarock's reported 3% rise for the same quarter, highlighting continued divergence across major research houses.</w:t>
      </w:r>
    </w:p>
    <w:p>
      <w:pPr>
        <w:spacing w:after="150"/>
      </w:pPr>
      <w:r>
        <w:rPr>
          <w:i/>
          <w:iCs/>
          <w:color w:val="595959"/>
          <w:sz w:val="18"/>
          <w:szCs w:val="18"/>
        </w:rPr>
        <w:t xml:space="preserve">Sources: BusinessToday/Anarock (unsold stock, launch growth); Free Press Journal/Knight Frank (9M 2026 launches, normalisation view); Business Standard/PropEquity (Q3 2026 sales decline).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sharp divergence between Anarock's reported 3% Q3 2026 sales rise and PropEquity's reported 6% decline for the same quarter is likely to keep CREDAI and NAREDCO pressing research houses for more standardised, comparable methodologies.</w:t>
      </w:r>
    </w:p>
    <w:p>
      <w:pPr>
        <w:pStyle w:val="ListParagraph"/>
        <w:numPr>
          <w:ilvl w:val="0"/>
          <w:numId w:val="2"/>
        </w:numPr>
        <w:spacing w:after="80"/>
      </w:pPr>
      <w:r>
        <w:rPr>
          <w:b w:val="false"/>
          <w:bCs w:val="false"/>
        </w:rPr>
        <w:t xml:space="preserve">With national unsold inventory up 12% YoY even as launches surged 18%, CREDAI and NAREDCO are expected to continue flagging supply-demand imbalance risk despite steady headline sales volumes.</w:t>
      </w:r>
    </w:p>
    <w:p>
      <w:pPr>
        <w:pStyle w:val="ListParagraph"/>
        <w:numPr>
          <w:ilvl w:val="0"/>
          <w:numId w:val="2"/>
        </w:numPr>
        <w:spacing w:after="80"/>
      </w:pPr>
      <w:r>
        <w:rPr>
          <w:b w:val="false"/>
          <w:bCs w:val="false"/>
        </w:rPr>
        <w:t xml:space="preserve">NCR's 11% sales decline in Knight Frank's nine-month data is likely to prompt continued CREDAI NCR-chapter advocacy for demand-support measures even as most other major markets show stable-to-rising volumes.</w:t>
      </w:r>
    </w:p>
    <w:p>
      <w:pPr>
        <w:spacing w:after="150"/>
      </w:pPr>
      <w:r>
        <w:rPr>
          <w:i/>
          <w:iCs/>
          <w:color w:val="595959"/>
          <w:sz w:val="18"/>
          <w:szCs w:val="18"/>
        </w:rPr>
        <w:t xml:space="preserve">Sources: BusinessToday/Anarock; Free Press Journal/Knight Frank; Business Standard/PropEquity.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2026-10-14T03:45:51.678Z</dcterms:created>
  <dcterms:modified xsi:type="dcterms:W3CDTF">2026-10-14T03:45:51.691Z</dcterms:modified>
</cp:coreProperties>
</file>

<file path=docProps/custom.xml><?xml version="1.0" encoding="utf-8"?>
<Properties xmlns="http://schemas.openxmlformats.org/officeDocument/2006/custom-properties" xmlns:vt="http://schemas.openxmlformats.org/officeDocument/2006/docPropsVTypes"/>
</file>