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10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Greater Bengaluru Authority (GBA) has replaced the former BBMP under the Greater Bengaluru Governance Act, 2024, restructuring the city into five City Corporations — Central, North, South, East and West — reshaping how residential building approvals are processed citywide.</w:t>
      </w:r>
    </w:p>
    <w:p>
      <w:pPr>
        <w:pStyle w:val="ListParagraph"/>
        <w:numPr>
          <w:ilvl w:val="0"/>
          <w:numId w:val="2"/>
        </w:numPr>
        <w:spacing w:after="80"/>
      </w:pPr>
      <w:r>
        <w:rPr>
          <w:b w:val="false"/>
          <w:bCs w:val="false"/>
        </w:rPr>
        <w:t xml:space="preserve">The Greater Bengaluru (Amendment) Regulations, 2026, notified in January 2026, raised the permissible height for residential buildings in residential zones from 11.5 metres to 15 metres, enabling denser development on existing plots.</w:t>
      </w:r>
    </w:p>
    <w:p>
      <w:pPr>
        <w:pStyle w:val="ListParagraph"/>
        <w:numPr>
          <w:ilvl w:val="0"/>
          <w:numId w:val="2"/>
        </w:numPr>
        <w:spacing w:after="80"/>
      </w:pPr>
      <w:r>
        <w:rPr>
          <w:b w:val="false"/>
          <w:bCs w:val="false"/>
        </w:rPr>
        <w:t xml:space="preserve">BDA has launched its third bulk land e-auction, offering more than 47 plots in prime locations, following two earlier auctions — the first of which alone generated a record ₹2,097 crore for the authority.</w:t>
      </w:r>
    </w:p>
    <w:p>
      <w:pPr>
        <w:spacing w:after="150"/>
      </w:pPr>
      <w:r>
        <w:rPr>
          <w:i/>
          <w:iCs/>
          <w:color w:val="595959"/>
          <w:sz w:val="18"/>
          <w:szCs w:val="18"/>
        </w:rPr>
        <w:t xml:space="preserve">Sources: BookNewProperty/Modern Spaaces (GBA-BBMP transition, five City Corporations); OneCityProperty (building-height amendment); Deccan Herald (BDA e-auctions).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BDA's land-sale spree — now in its third e-auction round after raising over ₹2,097 crore from bulk plots — is drawing policy scrutiny even as it continues to attract strong developer and institutional interest in prime Bengaluru locations.</w:t>
      </w:r>
    </w:p>
    <w:p>
      <w:pPr>
        <w:pStyle w:val="ListParagraph"/>
        <w:numPr>
          <w:ilvl w:val="0"/>
          <w:numId w:val="2"/>
        </w:numPr>
        <w:spacing w:after="80"/>
      </w:pPr>
      <w:r>
        <w:rPr>
          <w:b w:val="false"/>
          <w:bCs w:val="false"/>
        </w:rPr>
        <w:t xml:space="preserve">The raised building-height ceiling (11.5m to 15m) is expected to unlock incremental commercial and mixed-use redevelopment potential across residential zones as developers reassess density on existing landholdings.</w:t>
      </w:r>
    </w:p>
    <w:p>
      <w:pPr>
        <w:pStyle w:val="ListParagraph"/>
        <w:numPr>
          <w:ilvl w:val="0"/>
          <w:numId w:val="2"/>
        </w:numPr>
        <w:spacing w:after="80"/>
      </w:pPr>
      <w:r>
        <w:rPr>
          <w:b w:val="false"/>
          <w:bCs w:val="false"/>
        </w:rPr>
        <w:t xml:space="preserve">GBA's property-tax enforcement drive has identified over ₹400 crore in outstanding dues across roughly 7,000 properties citywide, with several East and North Bengaluru properties already auctioned in February 2026.</w:t>
      </w:r>
    </w:p>
    <w:p>
      <w:pPr>
        <w:spacing w:after="150"/>
      </w:pPr>
      <w:r>
        <w:rPr>
          <w:i/>
          <w:iCs/>
          <w:color w:val="595959"/>
          <w:sz w:val="18"/>
          <w:szCs w:val="18"/>
        </w:rPr>
        <w:t xml:space="preserve">Sources: Deccan Herald (BDA e-auction concerns); OneCityProperty (building-height amendment); Modern Spaaces (property-tax enforcement).</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and K-RERA face a significant adaptation period as the GBA's five-corporation restructuring reshapes which civic authority handles building-plan approvals and registration coordination across Bengaluru.</w:t>
      </w:r>
    </w:p>
    <w:p>
      <w:pPr>
        <w:pStyle w:val="ListParagraph"/>
        <w:numPr>
          <w:ilvl w:val="0"/>
          <w:numId w:val="2"/>
        </w:numPr>
        <w:spacing w:after="80"/>
      </w:pPr>
      <w:r>
        <w:rPr>
          <w:b w:val="false"/>
          <w:bCs w:val="false"/>
        </w:rPr>
        <w:t xml:space="preserve">The new 15-metre building-height ceiling is expected to require close K-RERA monitoring of disclosure compliance as more residential projects across the city redesign to the taller permissible limit.</w:t>
      </w:r>
    </w:p>
    <w:p>
      <w:pPr>
        <w:pStyle w:val="ListParagraph"/>
        <w:numPr>
          <w:ilvl w:val="0"/>
          <w:numId w:val="2"/>
        </w:numPr>
        <w:spacing w:after="80"/>
      </w:pPr>
      <w:r>
        <w:rPr>
          <w:b w:val="false"/>
          <w:bCs w:val="false"/>
        </w:rPr>
        <w:t xml:space="preserve">BDA's continued bulk land e-auctions are giving CREDAI Karnataka members fresh land parcels to develop, even as the pace and scale of the sales continue to raise transparency questions among policy watchers.</w:t>
      </w:r>
    </w:p>
    <w:p>
      <w:pPr>
        <w:spacing w:after="150"/>
      </w:pPr>
      <w:r>
        <w:rPr>
          <w:i/>
          <w:iCs/>
          <w:color w:val="595959"/>
          <w:sz w:val="18"/>
          <w:szCs w:val="18"/>
        </w:rPr>
        <w:t xml:space="preserve">Sources: BookNewProperty/Modern Spaaces; OneCityProperty; Deccan Herald.</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Chennai Peripheral Ring Road (CPRR), a 133.64-km project connecting Ennore, Thatchur, Thiruvallur, Tamaraipakkam, Periyapalayam, Puduvoyal, Kattupalli, Sriperumbudur and Singaperumal Koil, is targeted for substantial completion by December 2026, with full completion now expected in 2027.</w:t>
      </w:r>
    </w:p>
    <w:p>
      <w:pPr>
        <w:pStyle w:val="ListParagraph"/>
        <w:numPr>
          <w:ilvl w:val="0"/>
          <w:numId w:val="2"/>
        </w:numPr>
        <w:spacing w:after="80"/>
      </w:pPr>
      <w:r>
        <w:rPr>
          <w:b w:val="false"/>
          <w:bCs w:val="false"/>
        </w:rPr>
        <w:t xml:space="preserve">Section 4 (Sriperumbudur to Singaperumal Koil) is already complete, and Sections 2 and 3 are nearing completion as of early 2026, while Section 1 (Ennore to Thatchur) remains the most delayed stretch of the project.</w:t>
      </w:r>
    </w:p>
    <w:p>
      <w:pPr>
        <w:pStyle w:val="ListParagraph"/>
        <w:numPr>
          <w:ilvl w:val="0"/>
          <w:numId w:val="2"/>
        </w:numPr>
        <w:spacing w:after="80"/>
      </w:pPr>
      <w:r>
        <w:rPr>
          <w:b w:val="false"/>
          <w:bCs w:val="false"/>
        </w:rPr>
        <w:t xml:space="preserve">Improved connectivity along the CPRR is boosting suburban residential growth in peripheral towns like Singaperumal Koil and Sriperumbudur, with developers increasingly exploring plotted-community formats in these emerging locations.</w:t>
      </w:r>
    </w:p>
    <w:p>
      <w:pPr>
        <w:spacing w:after="150"/>
      </w:pPr>
      <w:r>
        <w:rPr>
          <w:i/>
          <w:iCs/>
          <w:color w:val="595959"/>
          <w:sz w:val="18"/>
          <w:szCs w:val="18"/>
        </w:rPr>
        <w:t xml:space="preserve">Sources: Verified.RealEstate Community (CPRR 2026 completion status); G Square Housing (Singaperumal Koil real estate surge, CPRR economic spine).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CPRR is being positioned as a new economic spine for Chennai, enabling major infrastructural expansion — including overpasses and elevated corridors — that supports both residential and commercial project development along its length.</w:t>
      </w:r>
    </w:p>
    <w:p>
      <w:pPr>
        <w:pStyle w:val="ListParagraph"/>
        <w:numPr>
          <w:ilvl w:val="0"/>
          <w:numId w:val="2"/>
        </w:numPr>
        <w:spacing w:after="80"/>
      </w:pPr>
      <w:r>
        <w:rPr>
          <w:b w:val="false"/>
          <w:bCs w:val="false"/>
        </w:rPr>
        <w:t xml:space="preserve">Peripheral CPRR-linked towns are attracting fresh commercial and industrial investment as improved connectivity opens new land parcels for development beyond Chennai's traditional core, complementing the city's OMR and GCC-led growth.</w:t>
      </w:r>
    </w:p>
    <w:p>
      <w:pPr>
        <w:pStyle w:val="ListParagraph"/>
        <w:numPr>
          <w:ilvl w:val="0"/>
          <w:numId w:val="2"/>
        </w:numPr>
        <w:spacing w:after="80"/>
      </w:pPr>
      <w:r>
        <w:rPr>
          <w:b w:val="false"/>
          <w:bCs w:val="false"/>
        </w:rPr>
        <w:t xml:space="preserve">The project's phased completion — with Section 4 already operational and Sections 2-3 nearing completion — is allowing developers to sequence launches in step with each newly-opened stretch of the corridor.</w:t>
      </w:r>
    </w:p>
    <w:p>
      <w:pPr>
        <w:spacing w:after="150"/>
      </w:pPr>
      <w:r>
        <w:rPr>
          <w:i/>
          <w:iCs/>
          <w:color w:val="595959"/>
          <w:sz w:val="18"/>
          <w:szCs w:val="18"/>
        </w:rPr>
        <w:t xml:space="preserve">Sources: G Square Housing; Verified.RealEstate Community; 1acre.in (CPRR route map).</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Tamil Nadu's CPRR completion timeline — most sections by December 2026, full completion by 2027 — gives CREDAI Tamil Nadu a multi-year framework for registering new peripheral township and plotted-development projects along the corridor.</w:t>
      </w:r>
    </w:p>
    <w:p>
      <w:pPr>
        <w:pStyle w:val="ListParagraph"/>
        <w:numPr>
          <w:ilvl w:val="0"/>
          <w:numId w:val="2"/>
        </w:numPr>
        <w:spacing w:after="80"/>
      </w:pPr>
      <w:r>
        <w:rPr>
          <w:b w:val="false"/>
          <w:bCs w:val="false"/>
        </w:rPr>
        <w:t xml:space="preserve">The continued delay to Section 1 (Ennore-Thatchur) remains a key watch item for CREDAI members planning projects in that specific stretch, even as other sections near completion on schedule.</w:t>
      </w:r>
    </w:p>
    <w:p>
      <w:pPr>
        <w:pStyle w:val="ListParagraph"/>
        <w:numPr>
          <w:ilvl w:val="0"/>
          <w:numId w:val="2"/>
        </w:numPr>
        <w:spacing w:after="80"/>
      </w:pPr>
      <w:r>
        <w:rPr>
          <w:b w:val="false"/>
          <w:bCs w:val="false"/>
        </w:rPr>
        <w:t xml:space="preserve">CPRR's suburban corridor growth adds to Tamil Nadu's expanding registration pipeline, complementing the state's ongoing Coimbatore-Madurai industrial corridor and Chennai's core OMR/GCC-driven demand.</w:t>
      </w:r>
    </w:p>
    <w:p>
      <w:pPr>
        <w:spacing w:after="150"/>
      </w:pPr>
      <w:r>
        <w:rPr>
          <w:i/>
          <w:iCs/>
          <w:color w:val="595959"/>
          <w:sz w:val="18"/>
          <w:szCs w:val="18"/>
        </w:rPr>
        <w:t xml:space="preserve">Sources: Verified.RealEstate Community; G Square Housing.</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luxury residential real estate market was valued at USD 57.87 billion in 2025 and is estimated to grow to USD 64.21 billion in 2026, on its way to USD 107.99 billion by 2031 at a 10.95% CAGR.</w:t>
      </w:r>
    </w:p>
    <w:p>
      <w:pPr>
        <w:pStyle w:val="ListParagraph"/>
        <w:numPr>
          <w:ilvl w:val="0"/>
          <w:numId w:val="2"/>
        </w:numPr>
        <w:spacing w:after="80"/>
      </w:pPr>
      <w:r>
        <w:rPr>
          <w:b w:val="false"/>
          <w:bCs w:val="false"/>
        </w:rPr>
        <w:t xml:space="preserve">India's luxury segment recorded the sale of 811 homes priced at ₹10 crore and above during FY26, worth a combined ₹11,246 crore, with Hyderabad leading the country in transaction volume at 625 luxury sales worth over ₹8,500 crore.</w:t>
      </w:r>
    </w:p>
    <w:p>
      <w:pPr>
        <w:pStyle w:val="ListParagraph"/>
        <w:numPr>
          <w:ilvl w:val="0"/>
          <w:numId w:val="2"/>
        </w:numPr>
        <w:spacing w:after="80"/>
      </w:pPr>
      <w:r>
        <w:rPr>
          <w:b w:val="false"/>
          <w:bCs w:val="false"/>
        </w:rPr>
        <w:t xml:space="preserve">Mumbai commands the highest share of national premium sales at 32.55%, underpinned by financial-sector wealth and constrained coastline land supply, even as Hyderabad dominates by sheer transaction count nationally.</w:t>
      </w:r>
    </w:p>
    <w:p>
      <w:pPr>
        <w:spacing w:after="150"/>
      </w:pPr>
      <w:r>
        <w:rPr>
          <w:i/>
          <w:iCs/>
          <w:color w:val="595959"/>
          <w:sz w:val="18"/>
          <w:szCs w:val="18"/>
        </w:rPr>
        <w:t xml:space="preserve">Sources: Mordor Intelligence (India luxury residential market size, CAGR); ThinkWithNiche (FY26 luxury sales volume, Hyderabad/Mumbai city share).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Apartments and condominiums led India's luxury residential market with 62.35% share in 2025, while villas and independent houses are forecast to grow faster, at an 11.20% CAGR through 2031, as ultra-high-net-worth buyers seek greater privacy and land ownership.</w:t>
      </w:r>
    </w:p>
    <w:p>
      <w:pPr>
        <w:pStyle w:val="ListParagraph"/>
        <w:numPr>
          <w:ilvl w:val="0"/>
          <w:numId w:val="2"/>
        </w:numPr>
        <w:spacing w:after="80"/>
      </w:pPr>
      <w:r>
        <w:rPr>
          <w:b w:val="false"/>
          <w:bCs w:val="false"/>
        </w:rPr>
        <w:t xml:space="preserve">The luxury segment's sustained double-digit growth is occurring even as India's broader Q1 FY27 listed-developer sales bookings softened, underscoring a growing bifurcation between premium and mid-market residential demand nationally.</w:t>
      </w:r>
    </w:p>
    <w:p>
      <w:pPr>
        <w:pStyle w:val="ListParagraph"/>
        <w:numPr>
          <w:ilvl w:val="0"/>
          <w:numId w:val="2"/>
        </w:numPr>
        <w:spacing w:after="80"/>
      </w:pPr>
      <w:r>
        <w:rPr>
          <w:b w:val="false"/>
          <w:bCs w:val="false"/>
        </w:rPr>
        <w:t xml:space="preserve">Hyderabad's luxury sales leadership complements its concurrent GHMC administrative expansion and continued West Hyderabad launch momentum, reinforcing the city's growing weight across both premium and mainstream residential segments.</w:t>
      </w:r>
    </w:p>
    <w:p>
      <w:pPr>
        <w:spacing w:after="150"/>
      </w:pPr>
      <w:r>
        <w:rPr>
          <w:i/>
          <w:iCs/>
          <w:color w:val="595959"/>
          <w:sz w:val="18"/>
          <w:szCs w:val="18"/>
        </w:rPr>
        <w:t xml:space="preserve">Sources: Mordor Intelligence; ThinkWithNiche; MarkNtel Advisors (India luxury residential market growth).</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luxury segment's rapid growth (10.95% CAGR nationally) is likely to keep CREDAI and NAREDCO advocating for differentiated regulatory and taxation treatment of ultra-premium projects relative to affordable and mid-income housing.</w:t>
      </w:r>
    </w:p>
    <w:p>
      <w:pPr>
        <w:pStyle w:val="ListParagraph"/>
        <w:numPr>
          <w:ilvl w:val="0"/>
          <w:numId w:val="2"/>
        </w:numPr>
        <w:spacing w:after="80"/>
      </w:pPr>
      <w:r>
        <w:rPr>
          <w:b w:val="false"/>
          <w:bCs w:val="false"/>
        </w:rPr>
        <w:t xml:space="preserve">Karnataka's Greater Bengaluru Authority restructuring and Tamil Nadu's CPRR-driven peripheral growth both illustrate how state governance and infrastructure decisions continue to reshape India's real estate registration landscape well beyond the luxury segment.</w:t>
      </w:r>
    </w:p>
    <w:p>
      <w:pPr>
        <w:pStyle w:val="ListParagraph"/>
        <w:numPr>
          <w:ilvl w:val="0"/>
          <w:numId w:val="2"/>
        </w:numPr>
        <w:spacing w:after="80"/>
      </w:pPr>
      <w:r>
        <w:rPr>
          <w:b w:val="false"/>
          <w:bCs w:val="false"/>
        </w:rPr>
        <w:t xml:space="preserve">Hyderabad's dual leadership in luxury sales volume and GHMC's administrative expansion positions the city as a key national case study in how infrastructure and governance reform can support real estate growth across price segments.</w:t>
      </w:r>
    </w:p>
    <w:p>
      <w:pPr>
        <w:spacing w:after="150"/>
      </w:pPr>
      <w:r>
        <w:rPr>
          <w:i/>
          <w:iCs/>
          <w:color w:val="595959"/>
          <w:sz w:val="18"/>
          <w:szCs w:val="18"/>
        </w:rPr>
        <w:t xml:space="preserve">Sources: Mordor Intelligence; BookNewProperty/Modern Spaaces; Verified.RealEstate Community.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2026-09-10T03:40:03.631Z</dcterms:created>
  <dcterms:modified xsi:type="dcterms:W3CDTF">2026-09-10T03:40:03.645Z</dcterms:modified>
</cp:coreProperties>
</file>

<file path=docProps/custom.xml><?xml version="1.0" encoding="utf-8"?>
<Properties xmlns="http://schemas.openxmlformats.org/officeDocument/2006/custom-properties" xmlns:vt="http://schemas.openxmlformats.org/officeDocument/2006/docPropsVTypes"/>
</file>