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Sunday, 9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residential inventory overhang has crossed Mumbai's for the first time, with roughly 84,000 unsold housing units at the end of the June quarter — now India's second-highest inventory overhang after NCR.</w:t>
      </w:r>
    </w:p>
    <w:p>
      <w:pPr>
        <w:pStyle w:val="ListParagraph"/>
        <w:numPr>
          <w:ilvl w:val="0"/>
          <w:numId w:val="2"/>
        </w:numPr>
        <w:spacing w:after="80"/>
      </w:pPr>
      <w:r>
        <w:rPr>
          <w:b w:val="false"/>
          <w:bCs w:val="false"/>
        </w:rPr>
        <w:t xml:space="preserve">Over 42% of Bengaluru homebuyers can no longer afford homes priced under ₹1 crore as prices continue climbing, pushing middle-class demand toward Whitefield and Sarjapur Road even as citywide prices are still projected to rise 10–12% through 2026.</w:t>
      </w:r>
    </w:p>
    <w:p>
      <w:pPr>
        <w:pStyle w:val="ListParagraph"/>
        <w:numPr>
          <w:ilvl w:val="0"/>
          <w:numId w:val="2"/>
        </w:numPr>
        <w:spacing w:after="80"/>
      </w:pPr>
      <w:r>
        <w:rPr>
          <w:b w:val="false"/>
          <w:bCs w:val="false"/>
        </w:rPr>
        <w:t xml:space="preserve">Bengaluru posted 5% YoY sales growth in H1 2026 at 27,968 units — the fastest growth rate among India's top eight residential markets — even as national sales rose just 1% to 171,471 units.</w:t>
      </w:r>
    </w:p>
    <w:p>
      <w:pPr>
        <w:spacing w:after="150"/>
      </w:pPr>
      <w:r>
        <w:rPr>
          <w:i/>
          <w:iCs/>
          <w:color w:val="595959"/>
          <w:sz w:val="18"/>
          <w:szCs w:val="18"/>
        </w:rPr>
        <w:t xml:space="preserve">Sources: NoBroker Times/BookNewProperty (inventory overhang, affordability); Proppy AI (price outlook); PropTiger/RealtyQuarter H1 2026 report.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HSBC has signed a pre-lease agreement for approximately 1.2 million sq ft of office space with Prestige Group on Bengaluru's Outer Ring Road, one of the city's largest single commercial leasing deals this year.</w:t>
      </w:r>
    </w:p>
    <w:p>
      <w:pPr>
        <w:pStyle w:val="ListParagraph"/>
        <w:numPr>
          <w:ilvl w:val="0"/>
          <w:numId w:val="2"/>
        </w:numPr>
        <w:spacing w:after="80"/>
      </w:pPr>
      <w:r>
        <w:rPr>
          <w:b w:val="false"/>
          <w:bCs w:val="false"/>
        </w:rPr>
        <w:t xml:space="preserve">Bengaluru's office market recorded 3.5 million sq ft of net absorption in Q2 2026 on fresh leasing and pre-commitments, alongside record Grade A supply of 5.8 million sq ft.</w:t>
      </w:r>
    </w:p>
    <w:p>
      <w:pPr>
        <w:pStyle w:val="ListParagraph"/>
        <w:numPr>
          <w:ilvl w:val="0"/>
          <w:numId w:val="2"/>
        </w:numPr>
        <w:spacing w:after="80"/>
      </w:pPr>
      <w:r>
        <w:rPr>
          <w:b w:val="false"/>
          <w:bCs w:val="false"/>
        </w:rPr>
        <w:t xml:space="preserve">Occupier demand from banking, technology, consulting and global capability centres is expected to keep Bengaluru's office market on a strong trajectory through the rest of 2026, with green-building certifications increasingly influencing leasing decisions.</w:t>
      </w:r>
    </w:p>
    <w:p>
      <w:pPr>
        <w:spacing w:after="150"/>
      </w:pPr>
      <w:r>
        <w:rPr>
          <w:i/>
          <w:iCs/>
          <w:color w:val="595959"/>
          <w:sz w:val="18"/>
          <w:szCs w:val="18"/>
        </w:rPr>
        <w:t xml:space="preserve">Sources: BangaloreProperties blog (HSBC–Prestige lease); Cushman &amp; Wakefield Bengaluru MarketBeat; Cityinfo Services.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has become headless after chairman H.C. Kishore Chandra, a retired DGP, completed his term and turned 65; the state government has yet to appoint a successor, with the process expected to begin once the poll-related model code of conduct lifts.</w:t>
      </w:r>
    </w:p>
    <w:p>
      <w:pPr>
        <w:pStyle w:val="ListParagraph"/>
        <w:numPr>
          <w:ilvl w:val="0"/>
          <w:numId w:val="2"/>
        </w:numPr>
        <w:spacing w:after="80"/>
      </w:pPr>
      <w:r>
        <w:rPr>
          <w:b w:val="false"/>
          <w:bCs w:val="false"/>
        </w:rPr>
        <w:t xml:space="preserve">K-RERA continues to intensify its crackdown on unregistered projects, issuing notices to developers suspected of relaunching previously penalised projects under different entities — even amid its current leadership vacuum.</w:t>
      </w:r>
    </w:p>
    <w:p>
      <w:pPr>
        <w:pStyle w:val="ListParagraph"/>
        <w:numPr>
          <w:ilvl w:val="0"/>
          <w:numId w:val="2"/>
        </w:numPr>
        <w:spacing w:after="80"/>
      </w:pPr>
      <w:r>
        <w:rPr>
          <w:b w:val="false"/>
          <w:bCs w:val="false"/>
        </w:rPr>
        <w:t xml:space="preserve">CREDAI Karnataka continues to track K-RERA's leadership transition alongside its ongoing e-Khata and registration-process advocacy with the state government.</w:t>
      </w:r>
    </w:p>
    <w:p>
      <w:pPr>
        <w:spacing w:after="150"/>
      </w:pPr>
      <w:r>
        <w:rPr>
          <w:i/>
          <w:iCs/>
          <w:color w:val="595959"/>
          <w:sz w:val="18"/>
          <w:szCs w:val="18"/>
        </w:rPr>
        <w:t xml:space="preserve">Sources: Deccan Herald (K-RERA chairman retirement); NoBroker Times (K-RERA crackdown on unregistered projects); Realty Law Journal.</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 Bengaluru and Chennai together posted a 47% YoY rise in housing sales to 38,644 units in the latest quarterly reading, with Hyderabad sales up 53% to 17,658 units and Chennai sales more than doubling to 7,862 units.</w:t>
      </w:r>
    </w:p>
    <w:p>
      <w:pPr>
        <w:pStyle w:val="ListParagraph"/>
        <w:numPr>
          <w:ilvl w:val="0"/>
          <w:numId w:val="2"/>
        </w:numPr>
        <w:spacing w:after="80"/>
      </w:pPr>
      <w:r>
        <w:rPr>
          <w:b w:val="false"/>
          <w:bCs w:val="false"/>
        </w:rPr>
        <w:t xml:space="preserve">Chennai's real estate market is entering 2026 in a "strong growth phase," with continuing infrastructure upgrades underpinning steady residential demand across the city.</w:t>
      </w:r>
    </w:p>
    <w:p>
      <w:pPr>
        <w:pStyle w:val="ListParagraph"/>
        <w:numPr>
          <w:ilvl w:val="0"/>
          <w:numId w:val="2"/>
        </w:numPr>
        <w:spacing w:after="80"/>
      </w:pPr>
      <w:r>
        <w:rPr>
          <w:b w:val="false"/>
          <w:bCs w:val="false"/>
        </w:rPr>
        <w:t xml:space="preserve">Hyderabad's core residential pricing remains firm heading into H2 2026, with well-located, well-connected projects continuing to command a premium even as the broader market stays calm and steady.</w:t>
      </w:r>
    </w:p>
    <w:p>
      <w:pPr>
        <w:spacing w:after="150"/>
      </w:pPr>
      <w:r>
        <w:rPr>
          <w:i/>
          <w:iCs/>
          <w:color w:val="595959"/>
          <w:sz w:val="18"/>
          <w:szCs w:val="18"/>
        </w:rPr>
        <w:t xml:space="preserve">Sources: PropTiger/Business Standard (Hyderabad-Bengaluru-Chennai sales); ValueRealitty (Chennai market trends); TeluguTimes (Hyderabad outlook).</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Hyderabad logged its strongest-ever first-half office leasing performance in H1 2026 at 7.5 million sq ft, up 29% YoY, with GCCs accounting for 3.4 million sq ft (45% of absorption); vacancy fell 296 bps YoY to 11.5% and average rentals rose 7% to ₹80/sq ft/month.</w:t>
      </w:r>
    </w:p>
    <w:p>
      <w:pPr>
        <w:pStyle w:val="ListParagraph"/>
        <w:numPr>
          <w:ilvl w:val="0"/>
          <w:numId w:val="2"/>
        </w:numPr>
        <w:spacing w:after="80"/>
      </w:pPr>
      <w:r>
        <w:rPr>
          <w:b w:val="false"/>
          <w:bCs w:val="false"/>
        </w:rPr>
        <w:t xml:space="preserve">CREDAI Hyderabad's Property Show 2026 (28–30 August, HITEX), themed "Rate Aagadhu – Demand Thaggadhu," will showcase hundreds of 100% RERA-approved projects to highlight the city's robust real estate ecosystem and sustained buyer confidence.</w:t>
      </w:r>
    </w:p>
    <w:p>
      <w:pPr>
        <w:pStyle w:val="ListParagraph"/>
        <w:numPr>
          <w:ilvl w:val="0"/>
          <w:numId w:val="2"/>
        </w:numPr>
        <w:spacing w:after="80"/>
      </w:pPr>
      <w:r>
        <w:rPr>
          <w:b w:val="false"/>
          <w:bCs w:val="false"/>
        </w:rPr>
        <w:t xml:space="preserve">Chennai's GCC-led office demand remains a key growth driver for the city's commercial market, reinforcing South India's centrality to India's broader GCC-led leasing boom.</w:t>
      </w:r>
    </w:p>
    <w:p>
      <w:pPr>
        <w:spacing w:after="150"/>
      </w:pPr>
      <w:r>
        <w:rPr>
          <w:i/>
          <w:iCs/>
          <w:color w:val="595959"/>
          <w:sz w:val="18"/>
          <w:szCs w:val="18"/>
        </w:rPr>
        <w:t xml:space="preserve">Sources: Deccan Chronicle/Hyderabad Mail (H1 2026 leasing record); The Hans India (CREDAI Hyderabad Property Show); Storyboard18 (GCC leasing).</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Hyderabad's Property Show 2026, running 28–30 August at HITEX, is being positioned as a one-stop platform for homebuyers to evaluate RERA-approved projects and directly engage developers and financing partners.</w:t>
      </w:r>
    </w:p>
    <w:p>
      <w:pPr>
        <w:pStyle w:val="ListParagraph"/>
        <w:numPr>
          <w:ilvl w:val="0"/>
          <w:numId w:val="2"/>
        </w:numPr>
        <w:spacing w:after="80"/>
      </w:pPr>
      <w:r>
        <w:rPr>
          <w:b w:val="false"/>
          <w:bCs w:val="false"/>
        </w:rPr>
        <w:t xml:space="preserve">CREDAI and NAREDCO have formally welcomed the Centre's four-month RERA project-extension advisory for projects with completion deadlines on or after 28 February 2026 — relief directly relevant to Tamil Nadu and Telangana developers navigating West Asia conflict-linked disruptions.</w:t>
      </w:r>
    </w:p>
    <w:p>
      <w:pPr>
        <w:pStyle w:val="ListParagraph"/>
        <w:numPr>
          <w:ilvl w:val="0"/>
          <w:numId w:val="2"/>
        </w:numPr>
        <w:spacing w:after="80"/>
      </w:pPr>
      <w:r>
        <w:rPr>
          <w:b w:val="false"/>
          <w:bCs w:val="false"/>
        </w:rPr>
        <w:t xml:space="preserve">South Indian state RERAs are watching Karnataka's ongoing K-RERA leadership vacuum as a governance case study, even as their own project-registration and compliance drives continue uninterrupted.</w:t>
      </w:r>
    </w:p>
    <w:p>
      <w:pPr>
        <w:spacing w:after="150"/>
      </w:pPr>
      <w:r>
        <w:rPr>
          <w:i/>
          <w:iCs/>
          <w:color w:val="595959"/>
          <w:sz w:val="18"/>
          <w:szCs w:val="18"/>
        </w:rPr>
        <w:t xml:space="preserve">Sources: The Hans India; PropNewsTime (CREDAI–NAREDCO advisory); Deccan Herald.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top eight residential markets recorded 171,471 units sold in H1 2026, up just 1% YoY, even as new launches rose 4% to 187,350 units — signalling a maturing market with more selective buying.</w:t>
      </w:r>
    </w:p>
    <w:p>
      <w:pPr>
        <w:pStyle w:val="ListParagraph"/>
        <w:numPr>
          <w:ilvl w:val="0"/>
          <w:numId w:val="2"/>
        </w:numPr>
        <w:spacing w:after="80"/>
      </w:pPr>
      <w:r>
        <w:rPr>
          <w:b w:val="false"/>
          <w:bCs w:val="false"/>
        </w:rPr>
        <w:t xml:space="preserve">Premium homes (₹1 crore+) now account for nearly 71% of all residential sales nationally, up from 62% a year earlier, with the ₹1.5–3 crore segment surging 58% YoY — the fastest-growing segment in the country.</w:t>
      </w:r>
    </w:p>
    <w:p>
      <w:pPr>
        <w:pStyle w:val="ListParagraph"/>
        <w:numPr>
          <w:ilvl w:val="0"/>
          <w:numId w:val="2"/>
        </w:numPr>
        <w:spacing w:after="80"/>
      </w:pPr>
      <w:r>
        <w:rPr>
          <w:b w:val="false"/>
          <w:bCs w:val="false"/>
        </w:rPr>
        <w:t xml:space="preserve">Mumbai remained India's largest residential market (47,355 units, +1% YoY) while Bengaluru was the fastest-growing top-8 city at +5% YoY (27,968 units); NCR sales fell 7% YoY to 24,862 units even as NCR prices rose ~13% YoY, the steepest among the top seven cities.</w:t>
      </w:r>
    </w:p>
    <w:p>
      <w:pPr>
        <w:spacing w:after="150"/>
      </w:pPr>
      <w:r>
        <w:rPr>
          <w:i/>
          <w:iCs/>
          <w:color w:val="595959"/>
          <w:sz w:val="18"/>
          <w:szCs w:val="18"/>
        </w:rPr>
        <w:t xml:space="preserve">Sources: RealtyQuarter/PropTiger H1 2026 report; Business Standard.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office leasing is on track to hit a record ~70 million sq ft in FY26, per ICRA forecasts, with net absorption across six major cities expected to reach an all-time high on continued GCC-driven demand.</w:t>
      </w:r>
    </w:p>
    <w:p>
      <w:pPr>
        <w:pStyle w:val="ListParagraph"/>
        <w:numPr>
          <w:ilvl w:val="0"/>
          <w:numId w:val="2"/>
        </w:numPr>
        <w:spacing w:after="80"/>
      </w:pPr>
      <w:r>
        <w:rPr>
          <w:b w:val="false"/>
          <w:bCs w:val="false"/>
        </w:rPr>
        <w:t xml:space="preserve">Hyderabad's record H1 2026 leasing (7.5 million sq ft, +29% YoY) and Bengaluru's HSBC–Prestige 1.2 million sq ft Outer Ring Road pre-lease illustrate the strength of India's commercial office pipeline even as the residential market matures.</w:t>
      </w:r>
    </w:p>
    <w:p>
      <w:pPr>
        <w:pStyle w:val="ListParagraph"/>
        <w:numPr>
          <w:ilvl w:val="0"/>
          <w:numId w:val="2"/>
        </w:numPr>
        <w:spacing w:after="80"/>
      </w:pPr>
      <w:r>
        <w:rPr>
          <w:b w:val="false"/>
          <w:bCs w:val="false"/>
        </w:rPr>
        <w:t xml:space="preserve">Luxury and premium housing continues to lead India's real estate growth in H1 2026 nationally, per Colliers, even as overall unit-sales growth moderates to just 1% YoY — underscoring a structural shift toward higher-value transactions.</w:t>
      </w:r>
    </w:p>
    <w:p>
      <w:pPr>
        <w:spacing w:after="150"/>
      </w:pPr>
      <w:r>
        <w:rPr>
          <w:i/>
          <w:iCs/>
          <w:color w:val="595959"/>
          <w:sz w:val="18"/>
          <w:szCs w:val="18"/>
        </w:rPr>
        <w:t xml:space="preserve">Sources: Business Standard/ICRA (FY26 leasing forecast); Colliers India 2026 Outlook; Maxim Infra News (luxury homes).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K-RERA's leadership vacuum, following chairman H.C. Kishore Chandra's retirement with no successor yet named, is being watched as a governance test case for other state RERAs balancing regulatory continuity with appointment processes.</w:t>
      </w:r>
    </w:p>
    <w:p>
      <w:pPr>
        <w:pStyle w:val="ListParagraph"/>
        <w:numPr>
          <w:ilvl w:val="0"/>
          <w:numId w:val="2"/>
        </w:numPr>
        <w:spacing w:after="80"/>
      </w:pPr>
      <w:r>
        <w:rPr>
          <w:b w:val="false"/>
          <w:bCs w:val="false"/>
        </w:rPr>
        <w:t xml:space="preserve">CREDAI and NAREDCO's continued endorsement of the Centre's four-month RERA project-extension advisory (for deadlines on or after 28 February 2026) remains one of the sector's most closely tracked national policy developments this month.</w:t>
      </w:r>
    </w:p>
    <w:p>
      <w:pPr>
        <w:pStyle w:val="ListParagraph"/>
        <w:numPr>
          <w:ilvl w:val="0"/>
          <w:numId w:val="2"/>
        </w:numPr>
        <w:spacing w:after="80"/>
      </w:pPr>
      <w:r>
        <w:rPr>
          <w:b w:val="false"/>
          <w:bCs w:val="false"/>
        </w:rPr>
        <w:t xml:space="preserve">CREDAI Hyderabad's Property Show 2026 (28–30 August) reflects a broader national CREDAI push toward transparent, 100% RERA-approved project showcases as a homebuyer-confidence tool amid the sector's maturing sales cycle.</w:t>
      </w:r>
    </w:p>
    <w:p>
      <w:pPr>
        <w:spacing w:after="150"/>
      </w:pPr>
      <w:r>
        <w:rPr>
          <w:i/>
          <w:iCs/>
          <w:color w:val="595959"/>
          <w:sz w:val="18"/>
          <w:szCs w:val="18"/>
        </w:rPr>
        <w:t xml:space="preserve">Sources: Deccan Herald (K-RERA); PropNewsTime; The Hans India.</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2026-08-09T03:40:06.406Z</dcterms:created>
  <dcterms:modified xsi:type="dcterms:W3CDTF">2026-08-09T03:40:06.421Z</dcterms:modified>
</cp:coreProperties>
</file>

<file path=docProps/custom.xml><?xml version="1.0" encoding="utf-8"?>
<Properties xmlns="http://schemas.openxmlformats.org/officeDocument/2006/custom-properties" xmlns:vt="http://schemas.openxmlformats.org/officeDocument/2006/docPropsVTypes"/>
</file>