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NBR Group – Daily Morning Real Estate Digest</w:t>
      </w:r>
    </w:p>
    <w:p>
      <w:pPr>
        <w:spacing w:after="300"/>
        <w:jc w:val="center"/>
      </w:pPr>
      <w:r>
        <w:rPr>
          <w:i/>
          <w:iCs/>
          <w:color w:val="595959"/>
          <w:sz w:val="22"/>
          <w:szCs w:val="22"/>
        </w:rPr>
        <w:t xml:space="preserve">Compiled for Senior Management  |  Sunday, 20 September 2026  |  For internal circulation</w:t>
      </w:r>
    </w:p>
    <w:p>
      <w:pPr>
        <w:spacing w:after="120"/>
      </w:pPr>
      <w:r>
        <w:t xml:space="preserve">This digest tracks residential-led news and updates across the real estate sector, with additional coverage of commercial, industrial and leasing activity, structured across three layers: (1) Bengaluru &amp; Karnataka, (2) South India, and (3) National. RERA and CREDAI updates are reported within each respective layer.</w:t>
      </w:r>
    </w:p>
    <w:p>
      <w:pPr>
        <w:pStyle w:val="Heading1"/>
        <w:pBdr>
          <w:bottom w:val="single" w:color="1F3864" w:sz="12" w:space="4"/>
        </w:pBdr>
        <w:spacing w:after="150" w:before="400"/>
      </w:pPr>
      <w:r>
        <w:rPr>
          <w:b/>
          <w:bCs/>
          <w:color w:val="1F3864"/>
        </w:rPr>
        <w:t xml:space="preserve">Layer 1 — Bengaluru &amp; Karnataka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Hoskote is transforming from a once-industrial suburb into a promising residential and investment hotspot on Bengaluru's eastern edge, serving as a gateway to Kolar, Narsapura and the Bengaluru-Chennai Industrial Corridor, with property values projected to appreciate 15-20% as the connecting expressway becomes operational in 2026.</w:t>
      </w:r>
    </w:p>
    <w:p>
      <w:pPr>
        <w:pStyle w:val="ListParagraph"/>
        <w:numPr>
          <w:ilvl w:val="0"/>
          <w:numId w:val="2"/>
        </w:numPr>
        <w:spacing w:after="80"/>
      </w:pPr>
      <w:r>
        <w:rPr>
          <w:b w:val="false"/>
          <w:bCs w:val="false"/>
        </w:rPr>
        <w:t xml:space="preserve">The Karnataka Housing Board has cleared an integrated township on 43 acres in the Yelahanka-Chikkajala area, combining residential, hotel and office spaces and signalling strong institutional confidence in North Bengaluru's growth corridor.</w:t>
      </w:r>
    </w:p>
    <w:p>
      <w:pPr>
        <w:pStyle w:val="ListParagraph"/>
        <w:numPr>
          <w:ilvl w:val="0"/>
          <w:numId w:val="2"/>
        </w:numPr>
        <w:spacing w:after="80"/>
      </w:pPr>
      <w:r>
        <w:rPr>
          <w:b w:val="false"/>
          <w:bCs w:val="false"/>
        </w:rPr>
        <w:t xml:space="preserve">Devanahalli, Yelahanka and Chikkajala together drove 34% of Bengaluru's residential launches in 2025, reinforcing North Bengaluru's position as the city's fastest-scaling growth belt.</w:t>
      </w:r>
    </w:p>
    <w:p>
      <w:pPr>
        <w:spacing w:after="150"/>
      </w:pPr>
      <w:r>
        <w:rPr>
          <w:i/>
          <w:iCs/>
          <w:color w:val="595959"/>
          <w:sz w:val="18"/>
          <w:szCs w:val="18"/>
        </w:rPr>
        <w:t xml:space="preserve">Sources: BookNewProperty (Hoskote 2026 outlook, appreciation projection); Puravankara (North Bengaluru launch share, KHB Yelahanka-Chikkajala township).</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The Bengaluru-Chennai Expressway (NH7) is nearing a June 2026 opening with completion of its final section connecting Hoskote to Sriperumbudur, cutting travel time to just 3 hours and driving fresh East Bengaluru and North Chennai real estate demand.</w:t>
      </w:r>
    </w:p>
    <w:p>
      <w:pPr>
        <w:pStyle w:val="ListParagraph"/>
        <w:numPr>
          <w:ilvl w:val="0"/>
          <w:numId w:val="2"/>
        </w:numPr>
        <w:spacing w:after="80"/>
      </w:pPr>
      <w:r>
        <w:rPr>
          <w:b w:val="false"/>
          <w:bCs w:val="false"/>
        </w:rPr>
        <w:t xml:space="preserve">The ORR-Airport (Blue) Metro Line, expected around 2026, will link key north corridors to central Bengaluru via stations serving Yelahanka and the airport belt, though the Chikkajala metro station will not be operational by June 2026 due to funding shortfalls.</w:t>
      </w:r>
    </w:p>
    <w:p>
      <w:pPr>
        <w:pStyle w:val="ListParagraph"/>
        <w:numPr>
          <w:ilvl w:val="0"/>
          <w:numId w:val="2"/>
        </w:numPr>
        <w:spacing w:after="80"/>
      </w:pPr>
      <w:r>
        <w:rPr>
          <w:b w:val="false"/>
          <w:bCs w:val="false"/>
        </w:rPr>
        <w:t xml:space="preserve">Bengaluru currently has over 1,357 bank e-auction properties listed across flats, houses and commercial assets, reflecting continued secondary-market liquidity even amid the city's broader residential and commercial expansion.</w:t>
      </w:r>
    </w:p>
    <w:p>
      <w:pPr>
        <w:spacing w:after="150"/>
      </w:pPr>
      <w:r>
        <w:rPr>
          <w:i/>
          <w:iCs/>
          <w:color w:val="595959"/>
          <w:sz w:val="18"/>
          <w:szCs w:val="18"/>
        </w:rPr>
        <w:t xml:space="preserve">Sources: RealtyPromoo (Bengaluru-Chennai Expressway/NH7 completion); Wikipedia/Chikkajala metro station (funding delay); ForeclosureIndia/BAANKNET (bank e-auction listings).</w:t>
      </w:r>
    </w:p>
    <w:p>
      <w:pPr>
        <w:pStyle w:val="Heading2"/>
        <w:spacing w:after="100" w:before="200"/>
      </w:pPr>
      <w:r>
        <w:rPr>
          <w:b/>
          <w:bCs/>
          <w:color w:val="C00000"/>
        </w:rPr>
        <w:t xml:space="preserve">Karnataka RERA &amp; CREDAI Updates</w:t>
      </w:r>
    </w:p>
    <w:p>
      <w:pPr>
        <w:pStyle w:val="ListParagraph"/>
        <w:numPr>
          <w:ilvl w:val="0"/>
          <w:numId w:val="2"/>
        </w:numPr>
        <w:spacing w:after="80"/>
      </w:pPr>
      <w:r>
        <w:rPr>
          <w:b w:val="false"/>
          <w:bCs w:val="false"/>
        </w:rPr>
        <w:t xml:space="preserve">K-RERA's oversight of KHB's 43-acre Yelahanka-Chikkajala township and Hoskote's expressway-linked project pipeline remains a priority as both corridors draw fresh institutional and developer interest simultaneously.</w:t>
      </w:r>
    </w:p>
    <w:p>
      <w:pPr>
        <w:pStyle w:val="ListParagraph"/>
        <w:numPr>
          <w:ilvl w:val="0"/>
          <w:numId w:val="2"/>
        </w:numPr>
        <w:spacing w:after="80"/>
      </w:pPr>
      <w:r>
        <w:rPr>
          <w:b w:val="false"/>
          <w:bCs w:val="false"/>
        </w:rPr>
        <w:t xml:space="preserve">CREDAI Karnataka is likely tracking the Chikkajala metro station's funding delay as a case study in how infrastructure-financing gaps can affect project-registration sequencing along otherwise fast-growing corridors.</w:t>
      </w:r>
    </w:p>
    <w:p>
      <w:pPr>
        <w:pStyle w:val="ListParagraph"/>
        <w:numPr>
          <w:ilvl w:val="0"/>
          <w:numId w:val="2"/>
        </w:numPr>
        <w:spacing w:after="80"/>
      </w:pPr>
      <w:r>
        <w:rPr>
          <w:b w:val="false"/>
          <w:bCs w:val="false"/>
        </w:rPr>
        <w:t xml:space="preserve">The high volume of bank e-auction listings across Bengaluru (1,357+) gives K-RERA and CREDAI Karnataka a useful distressed-asset dataset for monitoring broader market-health signals.</w:t>
      </w:r>
    </w:p>
    <w:p>
      <w:pPr>
        <w:spacing w:after="150"/>
      </w:pPr>
      <w:r>
        <w:rPr>
          <w:i/>
          <w:iCs/>
          <w:color w:val="595959"/>
          <w:sz w:val="18"/>
          <w:szCs w:val="18"/>
        </w:rPr>
        <w:t xml:space="preserve">Sources: BookNewProperty; Wikipedia/Chikkajala metro station; ForeclosureIndia/BAANKNET.</w:t>
      </w:r>
    </w:p>
    <w:p>
      <w:pPr>
        <w:pStyle w:val="Heading1"/>
        <w:pBdr>
          <w:bottom w:val="single" w:color="1F3864" w:sz="12" w:space="4"/>
        </w:pBdr>
        <w:spacing w:after="150" w:before="400"/>
      </w:pPr>
      <w:r>
        <w:rPr>
          <w:b/>
          <w:bCs/>
          <w:color w:val="1F3864"/>
        </w:rPr>
        <w:t xml:space="preserve">Layer 2 — South India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Kochi's Pathadipalam, Muttom and Ambattukavu are emerging as popular residential locations as housing projects expand beyond the city centre, powered by continued Kochi Metro expansion improving connectivity to IT hubs like Infopark and SmartCity.</w:t>
      </w:r>
    </w:p>
    <w:p>
      <w:pPr>
        <w:pStyle w:val="ListParagraph"/>
        <w:numPr>
          <w:ilvl w:val="0"/>
          <w:numId w:val="2"/>
        </w:numPr>
        <w:spacing w:after="80"/>
      </w:pPr>
      <w:r>
        <w:rPr>
          <w:b w:val="false"/>
          <w:bCs w:val="false"/>
        </w:rPr>
        <w:t xml:space="preserve">Apartment prices in established Kochi zones — Kakkanad, Edappally and Vyttila — range ₹4,500-8,000 per sq ft, while villas range ₹7,000-13,000 per sq ft depending on amenities and location.</w:t>
      </w:r>
    </w:p>
    <w:p>
      <w:pPr>
        <w:pStyle w:val="ListParagraph"/>
        <w:numPr>
          <w:ilvl w:val="0"/>
          <w:numId w:val="2"/>
        </w:numPr>
        <w:spacing w:after="80"/>
      </w:pPr>
      <w:r>
        <w:rPr>
          <w:b w:val="false"/>
          <w:bCs w:val="false"/>
        </w:rPr>
        <w:t xml:space="preserve">Kochi property values are projected to appreciate a further 10-15% through 2026 as metro-driven demand continues rising across residential categories, alongside a steady lifestyle shift among professionals and families.</w:t>
      </w:r>
    </w:p>
    <w:p>
      <w:pPr>
        <w:spacing w:after="150"/>
      </w:pPr>
      <w:r>
        <w:rPr>
          <w:i/>
          <w:iCs/>
          <w:color w:val="595959"/>
          <w:sz w:val="18"/>
          <w:szCs w:val="18"/>
        </w:rPr>
        <w:t xml:space="preserve">Sources: TBPL Homes/Nativeplanet (Kochi Metro Phase II, emerging residential nodes); Gharpe/Abad Builders (Kochi pricing, 2026 appreciation outlook).</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Suburban office markets accounted for 60% of Kochi's total office leasing in Q1 2026, with nearly 1.46 million sq ft of new office space expected to be developed by 2028, mainly concentrated in suburban zones beyond the traditional core.</w:t>
      </w:r>
    </w:p>
    <w:p>
      <w:pPr>
        <w:pStyle w:val="ListParagraph"/>
        <w:numPr>
          <w:ilvl w:val="0"/>
          <w:numId w:val="2"/>
        </w:numPr>
        <w:spacing w:after="80"/>
      </w:pPr>
      <w:r>
        <w:rPr>
          <w:b w:val="false"/>
          <w:bCs w:val="false"/>
        </w:rPr>
        <w:t xml:space="preserve">The Bengaluru-Chennai Expressway's imminent Hoskote-Sriperumbudur completion, cutting travel time to just 3 hours, is set to drive fresh residential and industrial demand across Sriperumbudur and North Chennai.</w:t>
      </w:r>
    </w:p>
    <w:p>
      <w:pPr>
        <w:pStyle w:val="ListParagraph"/>
        <w:numPr>
          <w:ilvl w:val="0"/>
          <w:numId w:val="2"/>
        </w:numPr>
        <w:spacing w:after="80"/>
      </w:pPr>
      <w:r>
        <w:rPr>
          <w:b w:val="false"/>
          <w:bCs w:val="false"/>
        </w:rPr>
        <w:t xml:space="preserve">Continued IT-hub growth at Infopark and SmartCity, alongside Kochi Metro's expansion, is reshaping the city's suburban office and residential map in tandem.</w:t>
      </w:r>
    </w:p>
    <w:p>
      <w:pPr>
        <w:spacing w:after="150"/>
      </w:pPr>
      <w:r>
        <w:rPr>
          <w:i/>
          <w:iCs/>
          <w:color w:val="595959"/>
          <w:sz w:val="18"/>
          <w:szCs w:val="18"/>
        </w:rPr>
        <w:t xml:space="preserve">Sources: Gharpe/Abad Builders (Kochi suburban office leasing, 2028 supply pipeline); RealtyPromoo (Bengaluru-Chennai Expressway, Sriperumbudur/North Chennai impact).</w:t>
      </w:r>
    </w:p>
    <w:p>
      <w:pPr>
        <w:pStyle w:val="Heading2"/>
        <w:spacing w:after="100" w:before="200"/>
      </w:pPr>
      <w:r>
        <w:rPr>
          <w:b/>
          <w:bCs/>
          <w:color w:val="C00000"/>
        </w:rPr>
        <w:t xml:space="preserve">South India RERA &amp; CREDAI Updates</w:t>
      </w:r>
    </w:p>
    <w:p>
      <w:pPr>
        <w:pStyle w:val="ListParagraph"/>
        <w:numPr>
          <w:ilvl w:val="0"/>
          <w:numId w:val="2"/>
        </w:numPr>
        <w:spacing w:after="80"/>
      </w:pPr>
      <w:r>
        <w:rPr>
          <w:b w:val="false"/>
          <w:bCs w:val="false"/>
        </w:rPr>
        <w:t xml:space="preserve">CREDAI Kerala is likely to track Kochi's suburban office-leasing surge (60% share) and emerging residential nodes like Pathadipalam and Muttom as fresh registration growth areas beyond the established urban core.</w:t>
      </w:r>
    </w:p>
    <w:p>
      <w:pPr>
        <w:pStyle w:val="ListParagraph"/>
        <w:numPr>
          <w:ilvl w:val="0"/>
          <w:numId w:val="2"/>
        </w:numPr>
        <w:spacing w:after="80"/>
      </w:pPr>
      <w:r>
        <w:rPr>
          <w:b w:val="false"/>
          <w:bCs w:val="false"/>
        </w:rPr>
        <w:t xml:space="preserve">CREDAI Tamil Nadu is expected to monitor the Bengaluru-Chennai Expressway's Sriperumbudur-linked growth as a fresh multi-year registration corridor complementing OMR and the Coimbatore-Madurai industrial belt.</w:t>
      </w:r>
    </w:p>
    <w:p>
      <w:pPr>
        <w:pStyle w:val="ListParagraph"/>
        <w:numPr>
          <w:ilvl w:val="0"/>
          <w:numId w:val="2"/>
        </w:numPr>
        <w:spacing w:after="80"/>
      </w:pPr>
      <w:r>
        <w:rPr>
          <w:b w:val="false"/>
          <w:bCs w:val="false"/>
        </w:rPr>
        <w:t xml:space="preserve">Continued metro-driven appreciation across South India's key cities — Kochi's projected 10-15% gain through 2026 — reinforces the region's case for coordinated, infrastructure-linked registration planning.</w:t>
      </w:r>
    </w:p>
    <w:p>
      <w:pPr>
        <w:spacing w:after="150"/>
      </w:pPr>
      <w:r>
        <w:rPr>
          <w:i/>
          <w:iCs/>
          <w:color w:val="595959"/>
          <w:sz w:val="18"/>
          <w:szCs w:val="18"/>
        </w:rPr>
        <w:t xml:space="preserve">Sources: Gharpe/Abad Builders; RealtyPromoo.</w:t>
      </w:r>
    </w:p>
    <w:p>
      <w:pPr>
        <w:pStyle w:val="Heading1"/>
        <w:pBdr>
          <w:bottom w:val="single" w:color="1F3864" w:sz="12" w:space="4"/>
        </w:pBdr>
        <w:spacing w:after="150" w:before="400"/>
      </w:pPr>
      <w:r>
        <w:rPr>
          <w:b/>
          <w:bCs/>
          <w:color w:val="1F3864"/>
        </w:rPr>
        <w:t xml:space="preserve">Layer 3 — National</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Construction costs nationally are expected to rise 3-5% in 2026, driven primarily by labour-cost inflation rather than raw materials, as India's new labour codes (effective November 2025) mandate improved social security, healthcare benefits and standard wage structures for construction workers.</w:t>
      </w:r>
    </w:p>
    <w:p>
      <w:pPr>
        <w:pStyle w:val="ListParagraph"/>
        <w:numPr>
          <w:ilvl w:val="0"/>
          <w:numId w:val="2"/>
        </w:numPr>
        <w:spacing w:after="80"/>
      </w:pPr>
      <w:r>
        <w:rPr>
          <w:b w:val="false"/>
          <w:bCs w:val="false"/>
        </w:rPr>
        <w:t xml:space="preserve">Wages for construction labour are projected to rise 5-12% under the new labour codes, marking a structural shift in India's construction-cost drivers away from commodity price volatility.</w:t>
      </w:r>
    </w:p>
    <w:p>
      <w:pPr>
        <w:pStyle w:val="ListParagraph"/>
        <w:numPr>
          <w:ilvl w:val="0"/>
          <w:numId w:val="2"/>
        </w:numPr>
        <w:spacing w:after="80"/>
      </w:pPr>
      <w:r>
        <w:rPr>
          <w:b w:val="false"/>
          <w:bCs w:val="false"/>
        </w:rPr>
        <w:t xml:space="preserve">Cement and steel prices actually fell in 2025 — cement by roughly 1-2% and steel by 3-4% — even as aluminium and copper rose sharply (8-9% and 9-10% respectively), reshaping developers' input-cost mix heading into 2026.</w:t>
      </w:r>
    </w:p>
    <w:p>
      <w:pPr>
        <w:spacing w:after="150"/>
      </w:pPr>
      <w:r>
        <w:rPr>
          <w:i/>
          <w:iCs/>
          <w:color w:val="595959"/>
          <w:sz w:val="18"/>
          <w:szCs w:val="18"/>
        </w:rPr>
        <w:t xml:space="preserve">Sources: Flo Mobility (labour-cost inflation, new labour codes); Aishwaryam/AECORD (cement/steel/aluminium/copper price trends).</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Cement prices are expected to stabilise around ₹380-420 per bag in 2026, while steel prices are projected to remain in the ₹58-68 per kilogram range, offering developers some near-term input-cost predictability.</w:t>
      </w:r>
    </w:p>
    <w:p>
      <w:pPr>
        <w:pStyle w:val="ListParagraph"/>
        <w:numPr>
          <w:ilvl w:val="0"/>
          <w:numId w:val="2"/>
        </w:numPr>
        <w:spacing w:after="80"/>
      </w:pPr>
      <w:r>
        <w:rPr>
          <w:b w:val="false"/>
          <w:bCs w:val="false"/>
        </w:rPr>
        <w:t xml:space="preserve">The government's GST 2.0 initiative delivered a 10% tax relief on cement, expected to save developers 2-3% on construction costs and reduce property prices by 1-1.5% for homebuyers nationally.</w:t>
      </w:r>
    </w:p>
    <w:p>
      <w:pPr>
        <w:pStyle w:val="ListParagraph"/>
        <w:numPr>
          <w:ilvl w:val="0"/>
          <w:numId w:val="2"/>
        </w:numPr>
        <w:spacing w:after="80"/>
      </w:pPr>
      <w:r>
        <w:rPr>
          <w:b w:val="false"/>
          <w:bCs w:val="false"/>
        </w:rPr>
        <w:t xml:space="preserve">Continued large-scale infrastructure investment nationally — including the Bengaluru-Chennai Expressway and Kochi Metro's ongoing expansion — is sustaining demand for construction labour and materials even as costs rise.</w:t>
      </w:r>
    </w:p>
    <w:p>
      <w:pPr>
        <w:spacing w:after="150"/>
      </w:pPr>
      <w:r>
        <w:rPr>
          <w:i/>
          <w:iCs/>
          <w:color w:val="595959"/>
          <w:sz w:val="18"/>
          <w:szCs w:val="18"/>
        </w:rPr>
        <w:t xml:space="preserve">Sources: Comaron/SteelSathi (cement/steel price forecasts); Aishwaryam (GST 2.0 cement relief impact).</w:t>
      </w:r>
    </w:p>
    <w:p>
      <w:pPr>
        <w:pStyle w:val="Heading2"/>
        <w:spacing w:after="100" w:before="200"/>
      </w:pPr>
      <w:r>
        <w:rPr>
          <w:b/>
          <w:bCs/>
          <w:color w:val="C00000"/>
        </w:rPr>
        <w:t xml:space="preserve">National CREDAI &amp; RERA Updates</w:t>
      </w:r>
    </w:p>
    <w:p>
      <w:pPr>
        <w:pStyle w:val="ListParagraph"/>
        <w:numPr>
          <w:ilvl w:val="0"/>
          <w:numId w:val="2"/>
        </w:numPr>
        <w:spacing w:after="80"/>
      </w:pPr>
      <w:r>
        <w:rPr>
          <w:b w:val="false"/>
          <w:bCs w:val="false"/>
        </w:rPr>
        <w:t xml:space="preserve">CREDAI and NAREDCO are likely to welcome GST 2.0's cement tax relief as a partial offset to labour-cost inflation, even as they continue advocating for further construction-input cost relief nationally.</w:t>
      </w:r>
    </w:p>
    <w:p>
      <w:pPr>
        <w:pStyle w:val="ListParagraph"/>
        <w:numPr>
          <w:ilvl w:val="0"/>
          <w:numId w:val="2"/>
        </w:numPr>
        <w:spacing w:after="80"/>
      </w:pPr>
      <w:r>
        <w:rPr>
          <w:b w:val="false"/>
          <w:bCs w:val="false"/>
        </w:rPr>
        <w:t xml:space="preserve">The new labour codes' wage and social-security requirements are expected to reshape how developers nationally budget and price new project registrations through 2026 and beyond.</w:t>
      </w:r>
    </w:p>
    <w:p>
      <w:pPr>
        <w:pStyle w:val="ListParagraph"/>
        <w:numPr>
          <w:ilvl w:val="0"/>
          <w:numId w:val="2"/>
        </w:numPr>
        <w:spacing w:after="80"/>
      </w:pPr>
      <w:r>
        <w:rPr>
          <w:b w:val="false"/>
          <w:bCs w:val="false"/>
        </w:rPr>
        <w:t xml:space="preserve">Continued infrastructure-linked real estate growth across Karnataka's Hoskote-NH7 corridor and Kerala's Kochi Metro expansion illustrates how national construction-cost trends interact with state-level infrastructure investment to shape registration and pricing decisions.</w:t>
      </w:r>
    </w:p>
    <w:p>
      <w:pPr>
        <w:spacing w:after="150"/>
      </w:pPr>
      <w:r>
        <w:rPr>
          <w:i/>
          <w:iCs/>
          <w:color w:val="595959"/>
          <w:sz w:val="18"/>
          <w:szCs w:val="18"/>
        </w:rPr>
        <w:t xml:space="preserve">Sources: Flo Mobility; Aishwaryam; BookNewProperty/Gharpe.</w:t>
      </w:r>
    </w:p>
    <w:p>
      <w:pPr>
        <w:pBdr>
          <w:top w:val="single" w:color="BFBFBF" w:sz="6" w:space="4"/>
        </w:pBdr>
        <w:spacing w:before="400"/>
      </w:pPr>
      <w:r>
        <w:rPr>
          <w:i/>
          <w:iCs/>
          <w:color w:val="595959"/>
          <w:sz w:val="16"/>
          <w:szCs w:val="16"/>
        </w:rPr>
        <w:t xml:space="preserve">Methodology note: This digest is compiled through web-based monitoring of real estate trade portals (ET Realty, Moneycontrol Real Estate/Property, Housing.com, Magicbricks, RealtyNXT, Realty Plus) and other business media, RERA authority orders/notices, and CREDAI communications. Some publisher sites restrict direct automated access; where that occurs, coverage is corroborated through secondary reporting and cited accordingly. Figures are the latest publicly available as of the digest date and should be independently verified before use in decision-making.</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2026-09-20T03:39:20.115Z</dcterms:created>
  <dcterms:modified xsi:type="dcterms:W3CDTF">2026-09-20T03:39:20.127Z</dcterms:modified>
</cp:coreProperties>
</file>

<file path=docProps/custom.xml><?xml version="1.0" encoding="utf-8"?>
<Properties xmlns="http://schemas.openxmlformats.org/officeDocument/2006/custom-properties" xmlns:vt="http://schemas.openxmlformats.org/officeDocument/2006/docPropsVTypes"/>
</file>