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13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Whitefield's average residential pricing stands at roughly ₹11,022 per sq ft, up 8.2% YoY, with a wide range of ₹3,000-33,772 per sq ft across property types; premium gated complexes are running closer to ₹12,000 per sq ft in 2026.</w:t>
      </w:r>
    </w:p>
    <w:p>
      <w:pPr>
        <w:pStyle w:val="ListParagraph"/>
        <w:numPr>
          <w:ilvl w:val="0"/>
          <w:numId w:val="2"/>
        </w:numPr>
        <w:spacing w:after="80"/>
      </w:pPr>
      <w:r>
        <w:rPr>
          <w:b w:val="false"/>
          <w:bCs w:val="false"/>
        </w:rPr>
        <w:t xml:space="preserve">HSR Layout now averages around ₹12,750 per sq ft, with HSR and Whitefield together cited as the two corridors leading Bengaluru's IT-corridor housing demand this year.</w:t>
      </w:r>
    </w:p>
    <w:p>
      <w:pPr>
        <w:pStyle w:val="ListParagraph"/>
        <w:numPr>
          <w:ilvl w:val="0"/>
          <w:numId w:val="2"/>
        </w:numPr>
        <w:spacing w:after="80"/>
      </w:pPr>
      <w:r>
        <w:rPr>
          <w:b w:val="false"/>
          <w:bCs w:val="false"/>
        </w:rPr>
        <w:t xml:space="preserve">JLL projects Bengaluru residential prices to rise 10-12% through 2026, naming North Bengaluru, Sarjapur Road and Whitefield as the key growth corridors, even as a separate JLL Q1 2026 note flags more muted like-for-like growth.</w:t>
      </w:r>
    </w:p>
    <w:p>
      <w:pPr>
        <w:spacing w:after="150"/>
      </w:pPr>
      <w:r>
        <w:rPr>
          <w:i/>
          <w:iCs/>
          <w:color w:val="595959"/>
          <w:sz w:val="18"/>
          <w:szCs w:val="18"/>
        </w:rPr>
        <w:t xml:space="preserve">Sources: Housing.com (Whitefield pricing); Addressofchoice/Mahindra Lifespaces (HSR Layout pricing, IT-corridor demand); JLL APPD Market Report (2026 corridor price forecast).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Premium and high-end housing continued to show the strongest absorption across Bengaluru's IT corridors in 2026, even as mid-income and affordable segments saw comparatively slower uptake.</w:t>
      </w:r>
    </w:p>
    <w:p>
      <w:pPr>
        <w:pStyle w:val="ListParagraph"/>
        <w:numPr>
          <w:ilvl w:val="0"/>
          <w:numId w:val="2"/>
        </w:numPr>
        <w:spacing w:after="80"/>
      </w:pPr>
      <w:r>
        <w:rPr>
          <w:b w:val="false"/>
          <w:bCs w:val="false"/>
        </w:rPr>
        <w:t xml:space="preserve">Sarjapur Road residential prices have risen nearly 79% cumulatively since 2021 per Anarock data, reinforcing the corridor's standing alongside Whitefield and HSR Layout as a top investor-focus micro-market for 2026.</w:t>
      </w:r>
    </w:p>
    <w:p>
      <w:pPr>
        <w:pStyle w:val="ListParagraph"/>
        <w:numPr>
          <w:ilvl w:val="0"/>
          <w:numId w:val="2"/>
        </w:numPr>
        <w:spacing w:after="80"/>
      </w:pPr>
      <w:r>
        <w:rPr>
          <w:b w:val="false"/>
          <w:bCs w:val="false"/>
        </w:rPr>
        <w:t xml:space="preserve">Continued IT-sector leasing demand across the Whitefield-HSR Layout belt remains the primary driver sustaining both commercial absorption and adjacent residential pricing in East and South-East Bengaluru.</w:t>
      </w:r>
    </w:p>
    <w:p>
      <w:pPr>
        <w:spacing w:after="150"/>
      </w:pPr>
      <w:r>
        <w:rPr>
          <w:i/>
          <w:iCs/>
          <w:color w:val="595959"/>
          <w:sz w:val="18"/>
          <w:szCs w:val="18"/>
        </w:rPr>
        <w:t xml:space="preserve">Sources: Outlookmoney (2026 Bengaluru trends); Therealtytoday (investor-focus micro-markets); Mahindra Lifespaces.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recently directed a Bengaluru developer to complete promised common amenities and transfer the land khata and other shared assets to the resident welfare association within 90 days, ruling that handing over keys alone does not constitute complete possession.</w:t>
      </w:r>
    </w:p>
    <w:p>
      <w:pPr>
        <w:pStyle w:val="ListParagraph"/>
        <w:numPr>
          <w:ilvl w:val="0"/>
          <w:numId w:val="2"/>
        </w:numPr>
        <w:spacing w:after="80"/>
      </w:pPr>
      <w:r>
        <w:rPr>
          <w:b w:val="false"/>
          <w:bCs w:val="false"/>
        </w:rPr>
        <w:t xml:space="preserve">In a separate order, K-RERA directed a builder and associated parties to refund roughly ₹32.94 lakh with interest at SBI's MCLR plus 2% after possession was not delivered despite two executed sale agreements.</w:t>
      </w:r>
    </w:p>
    <w:p>
      <w:pPr>
        <w:pStyle w:val="ListParagraph"/>
        <w:numPr>
          <w:ilvl w:val="0"/>
          <w:numId w:val="2"/>
        </w:numPr>
        <w:spacing w:after="80"/>
      </w:pPr>
      <w:r>
        <w:rPr>
          <w:b w:val="false"/>
          <w:bCs w:val="false"/>
        </w:rPr>
        <w:t xml:space="preserve">CREDAI Karnataka members are likely to continue watching K-RERA's stricter enforcement on amenity-completion and khata-transfer timelines as a signal that buyer-protection scrutiny is intensifying across established Bengaluru micro-markets.</w:t>
      </w:r>
    </w:p>
    <w:p>
      <w:pPr>
        <w:spacing w:after="150"/>
      </w:pPr>
      <w:r>
        <w:rPr>
          <w:i/>
          <w:iCs/>
          <w:color w:val="595959"/>
          <w:sz w:val="18"/>
          <w:szCs w:val="18"/>
        </w:rPr>
        <w:t xml:space="preserve">Sources: Therealtytoday (K-RERA amenities/khata order, refund-with-interest order).</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Brigade Enterprises is entering Coimbatore's residential market with a 5.4-acre project in Saravanampatti, developed through a joint development agreement, carrying an estimated gross development value of roughly ₹600 crore.</w:t>
      </w:r>
    </w:p>
    <w:p>
      <w:pPr>
        <w:pStyle w:val="ListParagraph"/>
        <w:numPr>
          <w:ilvl w:val="0"/>
          <w:numId w:val="2"/>
        </w:numPr>
        <w:spacing w:after="80"/>
      </w:pPr>
      <w:r>
        <w:rPr>
          <w:b w:val="false"/>
          <w:bCs w:val="false"/>
        </w:rPr>
        <w:t xml:space="preserve">Godrej Properties separately acquired a roughly 44-acre parcel in Coimbatore for an outright-purchase plotted residential project, with an estimated revenue potential of about ₹450 crore.</w:t>
      </w:r>
    </w:p>
    <w:p>
      <w:pPr>
        <w:pStyle w:val="ListParagraph"/>
        <w:numPr>
          <w:ilvl w:val="0"/>
          <w:numId w:val="2"/>
        </w:numPr>
        <w:spacing w:after="80"/>
      </w:pPr>
      <w:r>
        <w:rPr>
          <w:b w:val="false"/>
          <w:bCs w:val="false"/>
        </w:rPr>
        <w:t xml:space="preserve">Infinium Developers launched "Altitude," a luxury high-rise residential community on Sathy Main Road, Coimbatore, adding to the city's growing premium housing pipeline even as pricing details remain undisclosed.</w:t>
      </w:r>
    </w:p>
    <w:p>
      <w:pPr>
        <w:spacing w:after="150"/>
      </w:pPr>
      <w:r>
        <w:rPr>
          <w:i/>
          <w:iCs/>
          <w:color w:val="595959"/>
          <w:sz w:val="18"/>
          <w:szCs w:val="18"/>
        </w:rPr>
        <w:t xml:space="preserve">Sources: FilingReader (Brigade Coimbatore JDA); NSE corporate filing/Godrej Properties (44-acre Coimbatore acquisition); Realtynmore (Infinium Altitude launch).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Coimbatore's office market posted Gross Leasing Volume of 0.05 million sq ft in Q1 2026, up 46% YoY, per Cushman &amp; Wakefield, with the IT and BPM sector accounting for 58% of leasing activity.</w:t>
      </w:r>
    </w:p>
    <w:p>
      <w:pPr>
        <w:pStyle w:val="ListParagraph"/>
        <w:numPr>
          <w:ilvl w:val="0"/>
          <w:numId w:val="2"/>
        </w:numPr>
        <w:spacing w:after="80"/>
      </w:pPr>
      <w:r>
        <w:rPr>
          <w:b w:val="false"/>
          <w:bCs w:val="false"/>
        </w:rPr>
        <w:t xml:space="preserve">City-level office vacancy has fallen to near zero across all submarkets, against total Grade A and B+ stock of 5.5 million sq ft, pointing to a tightening supply pipeline.</w:t>
      </w:r>
    </w:p>
    <w:p>
      <w:pPr>
        <w:pStyle w:val="ListParagraph"/>
        <w:numPr>
          <w:ilvl w:val="0"/>
          <w:numId w:val="2"/>
        </w:numPr>
        <w:spacing w:after="80"/>
      </w:pPr>
      <w:r>
        <w:rPr>
          <w:b w:val="false"/>
          <w:bCs w:val="false"/>
        </w:rPr>
        <w:t xml:space="preserve">The near-simultaneous entry of Brigade and Godrej Properties into Coimbatore's residential segment signals growing listed-developer confidence in the city as a tier-2 growth market alongside its tightening office market.</w:t>
      </w:r>
    </w:p>
    <w:p>
      <w:pPr>
        <w:spacing w:after="150"/>
      </w:pPr>
      <w:r>
        <w:rPr>
          <w:i/>
          <w:iCs/>
          <w:color w:val="595959"/>
          <w:sz w:val="18"/>
          <w:szCs w:val="18"/>
        </w:rPr>
        <w:t xml:space="preserve">Sources: Realtynmore/Cushman &amp; Wakefield (Coimbatore Q1 2026 office leasing); FilingReader; NSE filing.</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Tamil Nadu is likely to view Brigade's and Godrej Properties' near-simultaneous Coimbatore entries as validation of the state's tier-2 expansion strategy beyond the traditional Chennai-centric focus.</w:t>
      </w:r>
    </w:p>
    <w:p>
      <w:pPr>
        <w:pStyle w:val="ListParagraph"/>
        <w:numPr>
          <w:ilvl w:val="0"/>
          <w:numId w:val="2"/>
        </w:numPr>
        <w:spacing w:after="80"/>
      </w:pPr>
      <w:r>
        <w:rPr>
          <w:b w:val="false"/>
          <w:bCs w:val="false"/>
        </w:rPr>
        <w:t xml:space="preserve">With Coimbatore's office vacancy near zero and residential land acquisitions accelerating, local RERA registrations are expected to rise as these large-format joint-development and plotted projects move toward launch.</w:t>
      </w:r>
    </w:p>
    <w:p>
      <w:pPr>
        <w:pStyle w:val="ListParagraph"/>
        <w:numPr>
          <w:ilvl w:val="0"/>
          <w:numId w:val="2"/>
        </w:numPr>
        <w:spacing w:after="80"/>
      </w:pPr>
      <w:r>
        <w:rPr>
          <w:b w:val="false"/>
          <w:bCs w:val="false"/>
        </w:rPr>
        <w:t xml:space="preserve">CREDAI Tamil Nadu members are likely to monitor how major listed developers structure Coimbatore entries — JDA versus outright purchase — as a reference point for mid-sized local developers planning similar tier-2 city expansion.</w:t>
      </w:r>
    </w:p>
    <w:p>
      <w:pPr>
        <w:spacing w:after="150"/>
      </w:pPr>
      <w:r>
        <w:rPr>
          <w:i/>
          <w:iCs/>
          <w:color w:val="595959"/>
          <w:sz w:val="18"/>
          <w:szCs w:val="18"/>
        </w:rPr>
        <w:t xml:space="preserve">Sources: FilingReader; NSE filing/Godrej Properties; Realtynmore.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28 listed realty firms posted combined pre-sales of roughly ₹1.95 lakh crore in FY26, up 17% YoY, per a PTI report, with Godrej Properties retaining its position as the largest listed developer by sales bookings.</w:t>
      </w:r>
    </w:p>
    <w:p>
      <w:pPr>
        <w:pStyle w:val="ListParagraph"/>
        <w:numPr>
          <w:ilvl w:val="0"/>
          <w:numId w:val="2"/>
        </w:numPr>
        <w:spacing w:after="80"/>
      </w:pPr>
      <w:r>
        <w:rPr>
          <w:b w:val="false"/>
          <w:bCs w:val="false"/>
        </w:rPr>
        <w:t xml:space="preserve">Godrej Properties' own FY26 pre-sales rose 16% YoY to a record ₹34,171 crore, underscoring continued premium-segment strength even as the broader market saw uneven city-wise recovery through the year.</w:t>
      </w:r>
    </w:p>
    <w:p>
      <w:pPr>
        <w:pStyle w:val="ListParagraph"/>
        <w:numPr>
          <w:ilvl w:val="0"/>
          <w:numId w:val="2"/>
        </w:numPr>
        <w:spacing w:after="80"/>
      </w:pPr>
      <w:r>
        <w:rPr>
          <w:b w:val="false"/>
          <w:bCs w:val="false"/>
        </w:rPr>
        <w:t xml:space="preserve">Anarock's narrower count of 11 major developers showed FY26 bookings rising 18% to ₹1.48 lakh crore, with multi-region developers reported to be gaining share over single-city players.</w:t>
      </w:r>
    </w:p>
    <w:p>
      <w:pPr>
        <w:spacing w:after="150"/>
      </w:pPr>
      <w:r>
        <w:rPr>
          <w:i/>
          <w:iCs/>
          <w:color w:val="595959"/>
          <w:sz w:val="18"/>
          <w:szCs w:val="18"/>
        </w:rPr>
        <w:t xml:space="preserve">Sources: HDFC Sky/PTI (FY26 listed-developer sales, ₹1.95 lakh crore); Deccan Herald (Godrej Properties FY26 pre-sales record); Anarock Capital summary (11-developer bookings count).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Savills India reported real estate private equity inflows of $3.2 billion in H1 2026, up 33% YoY, with office assets taking the largest half-year share at 34% and domestic investors supplying 51% of capital.</w:t>
      </w:r>
    </w:p>
    <w:p>
      <w:pPr>
        <w:pStyle w:val="ListParagraph"/>
        <w:numPr>
          <w:ilvl w:val="0"/>
          <w:numId w:val="2"/>
        </w:numPr>
        <w:spacing w:after="80"/>
      </w:pPr>
      <w:r>
        <w:rPr>
          <w:b w:val="false"/>
          <w:bCs w:val="false"/>
        </w:rPr>
        <w:t xml:space="preserve">Anarock Capital separately reported PE investment rising 23% YoY to $2.7 billion in H1 FY27 (April-September 2026), the strongest first half since H1 FY23, with foreign investors contributing roughly $1.4 billion across six transactions.</w:t>
      </w:r>
    </w:p>
    <w:p>
      <w:pPr>
        <w:pStyle w:val="ListParagraph"/>
        <w:numPr>
          <w:ilvl w:val="0"/>
          <w:numId w:val="2"/>
        </w:numPr>
        <w:spacing w:after="80"/>
      </w:pPr>
      <w:r>
        <w:rPr>
          <w:b w:val="false"/>
          <w:bCs w:val="false"/>
        </w:rPr>
        <w:t xml:space="preserve">Data centres led PE allocation in Q2 2026 with a 38% share versus offices' 30%, per Savills, pointing to a gradual diversification of institutional capital beyond traditional office assets.</w:t>
      </w:r>
    </w:p>
    <w:p>
      <w:pPr>
        <w:spacing w:after="150"/>
      </w:pPr>
      <w:r>
        <w:rPr>
          <w:i/>
          <w:iCs/>
          <w:color w:val="595959"/>
          <w:sz w:val="18"/>
          <w:szCs w:val="18"/>
        </w:rPr>
        <w:t xml:space="preserve">Sources: Therealtytoday/Savills India (H1 2026 PE inflows, asset-class split); Free Press Journal/Anarock Capital (H1 FY27 PE investment, foreign-investor share).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the 17% YoY rise in FY26 listed-developer sales and record Godrej Properties bookings as evidence of sustained demand strength heading into FY27.</w:t>
      </w:r>
    </w:p>
    <w:p>
      <w:pPr>
        <w:pStyle w:val="ListParagraph"/>
        <w:numPr>
          <w:ilvl w:val="0"/>
          <w:numId w:val="2"/>
        </w:numPr>
        <w:spacing w:after="80"/>
      </w:pPr>
      <w:r>
        <w:rPr>
          <w:b w:val="false"/>
          <w:bCs w:val="false"/>
        </w:rPr>
        <w:t xml:space="preserve">With Savills and Anarock reporting PE inflow growth of 33% and 23% respectively over different reporting periods, CREDAI and NAREDCO are expected to continue pressing for standardised, harmonised data reporting across research houses.</w:t>
      </w:r>
    </w:p>
    <w:p>
      <w:pPr>
        <w:pStyle w:val="ListParagraph"/>
        <w:numPr>
          <w:ilvl w:val="0"/>
          <w:numId w:val="2"/>
        </w:numPr>
        <w:spacing w:after="80"/>
      </w:pPr>
      <w:r>
        <w:rPr>
          <w:b w:val="false"/>
          <w:bCs w:val="false"/>
        </w:rPr>
        <w:t xml:space="preserve">The rising data-centre share of institutional capital is likely to keep CREDAI and NAREDCO's advocacy agenda focused on diversifying investment-grade asset classes beyond office and residential nationally.</w:t>
      </w:r>
    </w:p>
    <w:p>
      <w:pPr>
        <w:spacing w:after="150"/>
      </w:pPr>
      <w:r>
        <w:rPr>
          <w:i/>
          <w:iCs/>
          <w:color w:val="595959"/>
          <w:sz w:val="18"/>
          <w:szCs w:val="18"/>
        </w:rPr>
        <w:t xml:space="preserve">Sources: HDFC Sky/PTI; Therealtytoday/Savills India; Free Press Journal/Anarock Capital.</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2026-10-13T03:48:21.874Z</dcterms:created>
  <dcterms:modified xsi:type="dcterms:W3CDTF">2026-10-13T03:48:21.884Z</dcterms:modified>
</cp:coreProperties>
</file>

<file path=docProps/custom.xml><?xml version="1.0" encoding="utf-8"?>
<Properties xmlns="http://schemas.openxmlformats.org/officeDocument/2006/custom-properties" xmlns:vt="http://schemas.openxmlformats.org/officeDocument/2006/docPropsVTypes"/>
</file>