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19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Nomura named Prestige Estates its top real estate sector pick in a 1 September 2026 report, expecting the developer to launch projects worth an aggregate Gross Development Value of roughly ₹5,000 crore during Q2 FY27, spanning multiple Bengaluru projects.</w:t>
      </w:r>
    </w:p>
    <w:p>
      <w:pPr>
        <w:pStyle w:val="ListParagraph"/>
        <w:numPr>
          <w:ilvl w:val="0"/>
          <w:numId w:val="2"/>
        </w:numPr>
        <w:spacing w:after="80"/>
      </w:pPr>
      <w:r>
        <w:rPr>
          <w:b w:val="false"/>
          <w:bCs w:val="false"/>
        </w:rPr>
        <w:t xml:space="preserve">Brigade Group has entered pre-launch for Brigade Banashankari, adding to a deep pipeline of over 18 upcoming Brigade projects across Bengaluru spanning apartments, villas and plots.</w:t>
      </w:r>
    </w:p>
    <w:p>
      <w:pPr>
        <w:pStyle w:val="ListParagraph"/>
        <w:numPr>
          <w:ilvl w:val="0"/>
          <w:numId w:val="2"/>
        </w:numPr>
        <w:spacing w:after="80"/>
      </w:pPr>
      <w:r>
        <w:rPr>
          <w:b w:val="false"/>
          <w:bCs w:val="false"/>
        </w:rPr>
        <w:t xml:space="preserve">Sobha Limited's pipeline of 100+ residential projects across Bengaluru continues to expand, with buyer comparisons of Prestige, Sobha and Brigade increasingly framed around construction quality, delivery track record and long-term value rather than price alone.</w:t>
      </w:r>
    </w:p>
    <w:p>
      <w:pPr>
        <w:spacing w:after="150"/>
      </w:pPr>
      <w:r>
        <w:rPr>
          <w:i/>
          <w:iCs/>
          <w:color w:val="595959"/>
          <w:sz w:val="18"/>
          <w:szCs w:val="18"/>
        </w:rPr>
        <w:t xml:space="preserve">Sources: Aparna Decors (Nomura's September 2026 Prestige Estates pick); RealtyPromoo/BrigadeBangaloreProjects (Brigade Banashankari pre-launch); SobhaUpcoming/Estate Hive (Sobha pipeline, builder comparison).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Nifty Realty index rallied 2.58% to 916.15 on 3 September 2026, with Brigade surging 11.3% and Anant Raj up 9%, as DLF led festive-season demand bets on home loan rates hovering near 7%.</w:t>
      </w:r>
    </w:p>
    <w:p>
      <w:pPr>
        <w:pStyle w:val="ListParagraph"/>
        <w:numPr>
          <w:ilvl w:val="0"/>
          <w:numId w:val="2"/>
        </w:numPr>
        <w:spacing w:after="80"/>
      </w:pPr>
      <w:r>
        <w:rPr>
          <w:b w:val="false"/>
          <w:bCs w:val="false"/>
        </w:rPr>
        <w:t xml:space="preserve">Brigade's sharp single-day stock rally reflects market confidence in the Bengaluru-anchored developer's pipeline heading into the festive season, even as the broader Nifty Realty index has since pulled back from its September highs.</w:t>
      </w:r>
    </w:p>
    <w:p>
      <w:pPr>
        <w:pStyle w:val="ListParagraph"/>
        <w:numPr>
          <w:ilvl w:val="0"/>
          <w:numId w:val="2"/>
        </w:numPr>
        <w:spacing w:after="80"/>
      </w:pPr>
      <w:r>
        <w:rPr>
          <w:b w:val="false"/>
          <w:bCs w:val="false"/>
        </w:rPr>
        <w:t xml:space="preserve">Continued comparison of Bengaluru's top three listed developers — Prestige, Sobha and Brigade — on construction quality and delivery reliability signals a maturing, more discerning buyer base in the city.</w:t>
      </w:r>
    </w:p>
    <w:p>
      <w:pPr>
        <w:spacing w:after="150"/>
      </w:pPr>
      <w:r>
        <w:rPr>
          <w:i/>
          <w:iCs/>
          <w:color w:val="595959"/>
          <w:sz w:val="18"/>
          <w:szCs w:val="18"/>
        </w:rPr>
        <w:t xml:space="preserve">Sources: Eastern Herald (Nifty Realty September 3 rally); NxtFootstep/Estate Hive (builder comparisons).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of Brigade Banashankari and Prestige's expanding Q2 FY27 project pipeline (~₹5,000 crore GDV) remains a priority as Bengaluru's top developers scale up launches simultaneously.</w:t>
      </w:r>
    </w:p>
    <w:p>
      <w:pPr>
        <w:pStyle w:val="ListParagraph"/>
        <w:numPr>
          <w:ilvl w:val="0"/>
          <w:numId w:val="2"/>
        </w:numPr>
        <w:spacing w:after="80"/>
      </w:pPr>
      <w:r>
        <w:rPr>
          <w:b w:val="false"/>
          <w:bCs w:val="false"/>
        </w:rPr>
        <w:t xml:space="preserve">CREDAI Karnataka continues to cite Brigade's 11.3% single-day stock surge and the broader Nifty Realty rally as market validation of sustained investor confidence in Bengaluru-anchored developers.</w:t>
      </w:r>
    </w:p>
    <w:p>
      <w:pPr>
        <w:pStyle w:val="ListParagraph"/>
        <w:numPr>
          <w:ilvl w:val="0"/>
          <w:numId w:val="2"/>
        </w:numPr>
        <w:spacing w:after="80"/>
      </w:pPr>
      <w:r>
        <w:rPr>
          <w:b w:val="false"/>
          <w:bCs w:val="false"/>
        </w:rPr>
        <w:t xml:space="preserve">With buyer scrutiny increasingly centred on construction quality and delivery track record across Prestige, Sobha and Brigade, Karnataka's regulatory bodies continue to monitor disclosure standards as premiumisation persists.</w:t>
      </w:r>
    </w:p>
    <w:p>
      <w:pPr>
        <w:spacing w:after="150"/>
      </w:pPr>
      <w:r>
        <w:rPr>
          <w:i/>
          <w:iCs/>
          <w:color w:val="595959"/>
          <w:sz w:val="18"/>
          <w:szCs w:val="18"/>
        </w:rPr>
        <w:t xml:space="preserve">Sources: Aparna Decors; Eastern Herald; NxtFootstep/Estate Hive.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OMR corridor now averages ₹7,250 per sq ft for apartment transactions, having appreciated 52.6% over five years and 31.8% over three years, with GCCs and the IT/ITeS sector remaining the corridor's biggest housing-demand drivers.</w:t>
      </w:r>
    </w:p>
    <w:p>
      <w:pPr>
        <w:pStyle w:val="ListParagraph"/>
        <w:numPr>
          <w:ilvl w:val="0"/>
          <w:numId w:val="2"/>
        </w:numPr>
        <w:spacing w:after="80"/>
      </w:pPr>
      <w:r>
        <w:rPr>
          <w:b w:val="false"/>
          <w:bCs w:val="false"/>
        </w:rPr>
        <w:t xml:space="preserve">Along the ECR belt, Navalur and Sholinganallur on OMR, together with parts of ECR, rank among Chennai's top NRI investment hotspots, with average prices in the ₹6,500-7,600 per sq ft range and healthy annual growth.</w:t>
      </w:r>
    </w:p>
    <w:p>
      <w:pPr>
        <w:pStyle w:val="ListParagraph"/>
        <w:numPr>
          <w:ilvl w:val="0"/>
          <w:numId w:val="2"/>
        </w:numPr>
        <w:spacing w:after="80"/>
      </w:pPr>
      <w:r>
        <w:rPr>
          <w:b w:val="false"/>
          <w:bCs w:val="false"/>
        </w:rPr>
        <w:t xml:space="preserve">Premium micro-markets including Sholinganallur, ECR, Velachery and Guindy now start from ₹6,000 per sq ft and above, reflecting sustained premiumisation across Chennai's established southern growth corridors.</w:t>
      </w:r>
    </w:p>
    <w:p>
      <w:pPr>
        <w:spacing w:after="150"/>
      </w:pPr>
      <w:r>
        <w:rPr>
          <w:i/>
          <w:iCs/>
          <w:color w:val="595959"/>
          <w:sz w:val="18"/>
          <w:szCs w:val="18"/>
        </w:rPr>
        <w:t xml:space="preserve">Sources: Nahars (OMR/ECR investment guide, appreciation data); PropNewz (OMR/ECR plot verification, pricing); LiveHomes (Chennai 2026 property rates).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Pallavaram-Thoraipakkam 200-foot Road, an east-west connector, has meaningfully improved OMR's cross-connectivity since opening, easing access between the IT corridor and Chennai's western suburbs.</w:t>
      </w:r>
    </w:p>
    <w:p>
      <w:pPr>
        <w:pStyle w:val="ListParagraph"/>
        <w:numPr>
          <w:ilvl w:val="0"/>
          <w:numId w:val="2"/>
        </w:numPr>
        <w:spacing w:after="80"/>
      </w:pPr>
      <w:r>
        <w:rPr>
          <w:b w:val="false"/>
          <w:bCs w:val="false"/>
        </w:rPr>
        <w:t xml:space="preserve">Chennai Metro Phase 2 remains under construction with OMR access via the Velachery and Tambaram extensions, adding a further multi-year infrastructure catalyst to the corridor's continued commercial growth.</w:t>
      </w:r>
    </w:p>
    <w:p>
      <w:pPr>
        <w:pStyle w:val="ListParagraph"/>
        <w:numPr>
          <w:ilvl w:val="0"/>
          <w:numId w:val="2"/>
        </w:numPr>
        <w:spacing w:after="80"/>
      </w:pPr>
      <w:r>
        <w:rPr>
          <w:b w:val="false"/>
          <w:bCs w:val="false"/>
        </w:rPr>
        <w:t xml:space="preserve">Continued GCC and IT/ITeS sector expansion is sustaining demand for both premium residential catchments and supporting commercial and retail development along OMR and GST Road.</w:t>
      </w:r>
    </w:p>
    <w:p>
      <w:pPr>
        <w:spacing w:after="150"/>
      </w:pPr>
      <w:r>
        <w:rPr>
          <w:i/>
          <w:iCs/>
          <w:color w:val="595959"/>
          <w:sz w:val="18"/>
          <w:szCs w:val="18"/>
        </w:rPr>
        <w:t xml:space="preserve">Sources: PropNewz (Pallavaram-Thoraipakkam Road); Brigade Group/Puravankara (Chennai Metro Phase 2, GCC-driven growth).</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OMR's sustained five-year appreciation (52.6%) gives CREDAI Tamil Nadu a strong long-run case study in how GCC-anchored employment corridors continue to outperform even amid national market normalisation.</w:t>
      </w:r>
    </w:p>
    <w:p>
      <w:pPr>
        <w:pStyle w:val="ListParagraph"/>
        <w:numPr>
          <w:ilvl w:val="0"/>
          <w:numId w:val="2"/>
        </w:numPr>
        <w:spacing w:after="80"/>
      </w:pPr>
      <w:r>
        <w:rPr>
          <w:b w:val="false"/>
          <w:bCs w:val="false"/>
        </w:rPr>
        <w:t xml:space="preserve">Chennai Metro Phase 2's OMR-linked Velachery and Tambaram extensions give CREDAI Tamil Nadu a fresh, multi-year infrastructure anchor for coordinating new project registrations along the corridor.</w:t>
      </w:r>
    </w:p>
    <w:p>
      <w:pPr>
        <w:pStyle w:val="ListParagraph"/>
        <w:numPr>
          <w:ilvl w:val="0"/>
          <w:numId w:val="2"/>
        </w:numPr>
        <w:spacing w:after="80"/>
      </w:pPr>
      <w:r>
        <w:rPr>
          <w:b w:val="false"/>
          <w:bCs w:val="false"/>
        </w:rPr>
        <w:t xml:space="preserve">Continued NRI-focused investment interest in Navalur, Sholinganallur and ECR reinforces Tamil Nadu's importance within India's broader NRI investment flows, alongside the state's established domestic demand base.</w:t>
      </w:r>
    </w:p>
    <w:p>
      <w:pPr>
        <w:spacing w:after="150"/>
      </w:pPr>
      <w:r>
        <w:rPr>
          <w:i/>
          <w:iCs/>
          <w:color w:val="595959"/>
          <w:sz w:val="18"/>
          <w:szCs w:val="18"/>
        </w:rPr>
        <w:t xml:space="preserve">Sources: Nahars; PropNewz; Brigade Group/Puravankara.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Nifty Realty index rallied 2.58% to 916.15 on 3 September 2026, with Brigade surging 11.3% and Anant Raj up 9%, as DLF led festive-season demand bets on home loan rates hovering near 7% nationally.</w:t>
      </w:r>
    </w:p>
    <w:p>
      <w:pPr>
        <w:pStyle w:val="ListParagraph"/>
        <w:numPr>
          <w:ilvl w:val="0"/>
          <w:numId w:val="2"/>
        </w:numPr>
        <w:spacing w:after="80"/>
      </w:pPr>
      <w:r>
        <w:rPr>
          <w:b w:val="false"/>
          <w:bCs w:val="false"/>
        </w:rPr>
        <w:t xml:space="preserve">By 15 September 2026, the index had pulled back to ₹829.40 (down 2.25% day-on-day), underscoring continued volatility in listed realty stocks even amid broader festive-season optimism.</w:t>
      </w:r>
    </w:p>
    <w:p>
      <w:pPr>
        <w:pStyle w:val="ListParagraph"/>
        <w:numPr>
          <w:ilvl w:val="0"/>
          <w:numId w:val="2"/>
        </w:numPr>
        <w:spacing w:after="80"/>
      </w:pPr>
      <w:r>
        <w:rPr>
          <w:b w:val="false"/>
          <w:bCs w:val="false"/>
        </w:rPr>
        <w:t xml:space="preserve">The index's 52-week range spans ₹638.65 to ₹974.50, with a current P/E ratio of 51.63, reflecting elevated valuations across India's listed real estate sector heading into the festive quarter.</w:t>
      </w:r>
    </w:p>
    <w:p>
      <w:pPr>
        <w:spacing w:after="150"/>
      </w:pPr>
      <w:r>
        <w:rPr>
          <w:i/>
          <w:iCs/>
          <w:color w:val="595959"/>
          <w:sz w:val="18"/>
          <w:szCs w:val="18"/>
        </w:rPr>
        <w:t xml:space="preserve">Sources: Eastern Herald (Nifty Realty September 3 rally); Upstox/IndexPE (52-week range, P/E ratio, September 15 level).</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On 11 September 2026, Phoenix Mills was the Nifty Realty index's top gainer (+0.1%) while Godrej Properties (-6.6%) and Embassy Developments (-3.7%) led losses, reflecting a highly stock-specific, uneven rally within the sector.</w:t>
      </w:r>
    </w:p>
    <w:p>
      <w:pPr>
        <w:pStyle w:val="ListParagraph"/>
        <w:numPr>
          <w:ilvl w:val="0"/>
          <w:numId w:val="2"/>
        </w:numPr>
        <w:spacing w:after="80"/>
      </w:pPr>
      <w:r>
        <w:rPr>
          <w:b w:val="false"/>
          <w:bCs w:val="false"/>
        </w:rPr>
        <w:t xml:space="preserve">The Nifty REITs &amp; Realty Index tracks 15 securities spanning listed REITs and Realty-sector stocks, weighted by free-float market capitalisation, offering a broad benchmark for India's institutional real estate market.</w:t>
      </w:r>
    </w:p>
    <w:p>
      <w:pPr>
        <w:pStyle w:val="ListParagraph"/>
        <w:numPr>
          <w:ilvl w:val="0"/>
          <w:numId w:val="2"/>
        </w:numPr>
        <w:spacing w:after="80"/>
      </w:pPr>
      <w:r>
        <w:rPr>
          <w:b w:val="false"/>
          <w:bCs w:val="false"/>
        </w:rPr>
        <w:t xml:space="preserve">Continued volatility in listed realty stocks reflects the broader bifurcation between strong festive-season residential demand bets and mixed commercial and office-segment performance nationally.</w:t>
      </w:r>
    </w:p>
    <w:p>
      <w:pPr>
        <w:spacing w:after="150"/>
      </w:pPr>
      <w:r>
        <w:rPr>
          <w:i/>
          <w:iCs/>
          <w:color w:val="595959"/>
          <w:sz w:val="18"/>
          <w:szCs w:val="18"/>
        </w:rPr>
        <w:t xml:space="preserve">Sources: Tickertape (Nifty Realty index composition, September 11 movers); Eastern Herald.</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sharp 3 September Nifty Realty rally, driven by festive-season demand optimism and near-7% home loan rates, offers CREDAI and NAREDCO further evidence supporting their affordability-linked demand-side advocacy.</w:t>
      </w:r>
    </w:p>
    <w:p>
      <w:pPr>
        <w:pStyle w:val="ListParagraph"/>
        <w:numPr>
          <w:ilvl w:val="0"/>
          <w:numId w:val="2"/>
        </w:numPr>
        <w:spacing w:after="80"/>
      </w:pPr>
      <w:r>
        <w:rPr>
          <w:b w:val="false"/>
          <w:bCs w:val="false"/>
        </w:rPr>
        <w:t xml:space="preserve">Stock-specific divergence within the Nifty Realty index — Brigade and Anant Raj surging while Godrej Properties and Embassy Developments declined — mirrors the broader launch-pipeline-driven earnings divergence already visible across FY27.</w:t>
      </w:r>
    </w:p>
    <w:p>
      <w:pPr>
        <w:pStyle w:val="ListParagraph"/>
        <w:numPr>
          <w:ilvl w:val="0"/>
          <w:numId w:val="2"/>
        </w:numPr>
        <w:spacing w:after="80"/>
      </w:pPr>
      <w:r>
        <w:rPr>
          <w:b w:val="false"/>
          <w:bCs w:val="false"/>
        </w:rPr>
        <w:t xml:space="preserve">Continued institutional market attention on India's listed realty sector reinforces the case for closer alignment between RERA project-disclosure norms and securities-market reporting standards nationally.</w:t>
      </w:r>
    </w:p>
    <w:p>
      <w:pPr>
        <w:spacing w:after="150"/>
      </w:pPr>
      <w:r>
        <w:rPr>
          <w:i/>
          <w:iCs/>
          <w:color w:val="595959"/>
          <w:sz w:val="18"/>
          <w:szCs w:val="18"/>
        </w:rPr>
        <w:t xml:space="preserve">Sources: Eastern Herald; Tickertape; Upstox/IndexPE.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2026-09-19T03:40:49.769Z</dcterms:created>
  <dcterms:modified xsi:type="dcterms:W3CDTF">2026-09-19T03:40:49.778Z</dcterms:modified>
</cp:coreProperties>
</file>

<file path=docProps/custom.xml><?xml version="1.0" encoding="utf-8"?>
<Properties xmlns="http://schemas.openxmlformats.org/officeDocument/2006/custom-properties" xmlns:vt="http://schemas.openxmlformats.org/officeDocument/2006/docPropsVTypes"/>
</file>