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Thursday, 27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Whitefield apartments now average ₹13,000 per sq ft, up 8–13% over the past year, with core pockets near ITPL and Varthur Road commanding a premium at ₹13,500–15,000 per sq ft.</w:t>
      </w:r>
    </w:p>
    <w:p>
      <w:pPr>
        <w:pStyle w:val="ListParagraph"/>
        <w:numPr>
          <w:ilvl w:val="0"/>
          <w:numId w:val="2"/>
        </w:numPr>
        <w:spacing w:after="80"/>
      </w:pPr>
      <w:r>
        <w:rPr>
          <w:b w:val="false"/>
          <w:bCs w:val="false"/>
        </w:rPr>
        <w:t xml:space="preserve">Greater Whitefield around Budigere Cross remains comparatively affordable at ₹7,000–9,000 per sq ft, continuing to draw buyers priced out of the core corridor.</w:t>
      </w:r>
    </w:p>
    <w:p>
      <w:pPr>
        <w:pStyle w:val="ListParagraph"/>
        <w:numPr>
          <w:ilvl w:val="0"/>
          <w:numId w:val="2"/>
        </w:numPr>
        <w:spacing w:after="80"/>
      </w:pPr>
      <w:r>
        <w:rPr>
          <w:b w:val="false"/>
          <w:bCs w:val="false"/>
        </w:rPr>
        <w:t xml:space="preserve">Sumadhura Group plans to launch six luxury housing projects in Bengaluru in FY26, including developments in Whitefield, comprising over 4,000 residential units and 400 plots.</w:t>
      </w:r>
    </w:p>
    <w:p>
      <w:pPr>
        <w:spacing w:after="150"/>
      </w:pPr>
      <w:r>
        <w:rPr>
          <w:i/>
          <w:iCs/>
          <w:color w:val="595959"/>
          <w:sz w:val="18"/>
          <w:szCs w:val="18"/>
        </w:rPr>
        <w:t xml:space="preserve">Sources: Sobha/PrestigeSwhitefield (Whitefield pricing); AurumProptech (ITPL/Varthur Road pricing); Sobha (Sumadhura Group FY26 launch plans).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Purple Line metro to Whitefield (Kadugodi), operational since 2023, continues to anchor the corridor's connectivity to Marathahalli, KR Puram and the airport route via Whitefield Main Road, ITPL Main Road and the Outer Ring Road.</w:t>
      </w:r>
    </w:p>
    <w:p>
      <w:pPr>
        <w:pStyle w:val="ListParagraph"/>
        <w:numPr>
          <w:ilvl w:val="0"/>
          <w:numId w:val="2"/>
        </w:numPr>
        <w:spacing w:after="80"/>
      </w:pPr>
      <w:r>
        <w:rPr>
          <w:b w:val="false"/>
          <w:bCs w:val="false"/>
        </w:rPr>
        <w:t xml:space="preserve">Prestige Evergreen's 1 BHK configurations sold out completely as of March 2026, reflecting continued strong absorption in Whitefield's compact-unit segment.</w:t>
      </w:r>
    </w:p>
    <w:p>
      <w:pPr>
        <w:pStyle w:val="ListParagraph"/>
        <w:numPr>
          <w:ilvl w:val="0"/>
          <w:numId w:val="2"/>
        </w:numPr>
        <w:spacing w:after="80"/>
      </w:pPr>
      <w:r>
        <w:rPr>
          <w:b w:val="false"/>
          <w:bCs w:val="false"/>
        </w:rPr>
        <w:t xml:space="preserve">Traffic congestion at junctions like Hope Farm and the ITPL stretch remains a persistent challenge even as commercial and residential development in the corridor continues to intensify.</w:t>
      </w:r>
    </w:p>
    <w:p>
      <w:pPr>
        <w:spacing w:after="150"/>
      </w:pPr>
      <w:r>
        <w:rPr>
          <w:i/>
          <w:iCs/>
          <w:color w:val="595959"/>
          <w:sz w:val="18"/>
          <w:szCs w:val="18"/>
        </w:rPr>
        <w:t xml:space="preserve">Sources: Prestige Severgreen (Purple Line, road connectivity); Prestige Swhitefield (Prestige Evergreen sellout); Sobha (traffic congestion).</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Karnataka continues to track Whitefield's sustained absorption — including Prestige Evergreen's full 1 BHK sellout and Sumadhura's six-project FY26 pipeline — as evidence of resilient demand in the city's established IT corridors.</w:t>
      </w:r>
    </w:p>
    <w:p>
      <w:pPr>
        <w:pStyle w:val="ListParagraph"/>
        <w:numPr>
          <w:ilvl w:val="0"/>
          <w:numId w:val="2"/>
        </w:numPr>
        <w:spacing w:after="80"/>
      </w:pPr>
      <w:r>
        <w:rPr>
          <w:b w:val="false"/>
          <w:bCs w:val="false"/>
        </w:rPr>
        <w:t xml:space="preserve">K-RERA continues to operate with a partially reconstituted bench following N Jayaram's appointment as Member, even as the chairman post remains vacant since H.C. Kishore Chandra's retirement.</w:t>
      </w:r>
    </w:p>
    <w:p>
      <w:pPr>
        <w:pStyle w:val="ListParagraph"/>
        <w:numPr>
          <w:ilvl w:val="0"/>
          <w:numId w:val="2"/>
        </w:numPr>
        <w:spacing w:after="80"/>
      </w:pPr>
      <w:r>
        <w:rPr>
          <w:b w:val="false"/>
          <w:bCs w:val="false"/>
        </w:rPr>
        <w:t xml:space="preserve">CREDAI Karnataka's ongoing premium-FAR advocacy remains relevant to congestion-prone corridors like Whitefield's ITPL stretch, where developers continue to seek greater density flexibility despite existing infrastructure strain.</w:t>
      </w:r>
    </w:p>
    <w:p>
      <w:pPr>
        <w:spacing w:after="150"/>
      </w:pPr>
      <w:r>
        <w:rPr>
          <w:i/>
          <w:iCs/>
          <w:color w:val="595959"/>
          <w:sz w:val="18"/>
          <w:szCs w:val="18"/>
        </w:rPr>
        <w:t xml:space="preserve">Sources: Sobha/Prestige Swhitefield; Deccan Herald (K-RERA bench composition).</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Chennai's apartment sales rose 27% YoY to 8,587 units in H1 2026, with average housing prices up 13% over the same period — the city's second-highest sales growth among India's seven major housing markets, per JLL.</w:t>
      </w:r>
    </w:p>
    <w:p>
      <w:pPr>
        <w:pStyle w:val="ListParagraph"/>
        <w:numPr>
          <w:ilvl w:val="0"/>
          <w:numId w:val="2"/>
        </w:numPr>
        <w:spacing w:after="80"/>
      </w:pPr>
      <w:r>
        <w:rPr>
          <w:b w:val="false"/>
          <w:bCs w:val="false"/>
        </w:rPr>
        <w:t xml:space="preserve">South Chennai, centred around OMR, continues to contribute nearly 38% of the city's total residential sales in Q1 2026, with OMR apartment prices averaging ~₹7,250 per sq ft (52.6% five-year appreciation).</w:t>
      </w:r>
    </w:p>
    <w:p>
      <w:pPr>
        <w:pStyle w:val="ListParagraph"/>
        <w:numPr>
          <w:ilvl w:val="0"/>
          <w:numId w:val="2"/>
        </w:numPr>
        <w:spacing w:after="80"/>
      </w:pPr>
      <w:r>
        <w:rPr>
          <w:b w:val="false"/>
          <w:bCs w:val="false"/>
        </w:rPr>
        <w:t xml:space="preserve">Hyderabad sold 13,196 homes in the April-June 2026 quarter, up 15% YoY, continuing to outperform even as HYDRAA-Section 22A restrictions weigh on the city's registration volumes.</w:t>
      </w:r>
    </w:p>
    <w:p>
      <w:pPr>
        <w:spacing w:after="150"/>
      </w:pPr>
      <w:r>
        <w:rPr>
          <w:i/>
          <w:iCs/>
          <w:color w:val="595959"/>
          <w:sz w:val="18"/>
          <w:szCs w:val="18"/>
        </w:rPr>
        <w:t xml:space="preserve">Sources: NoBroker/JLL (Chennai H1 2026 sales); Verified.RealEstate (South Chennai/OMR sales share, pricing); Gulte/PropTiger (Hyderabad Q2 2026 sales).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Tamil Nadu's Industries Minister S. Keerthana announced during Assembly proceedings on 25 August 2026 a new programme offering higher FSI and improved infrastructure for eligible GCC campuses along Chennai's OMR, Radial Road and Mount-Poonamallee Road corridors.</w:t>
      </w:r>
    </w:p>
    <w:p>
      <w:pPr>
        <w:pStyle w:val="ListParagraph"/>
        <w:numPr>
          <w:ilvl w:val="0"/>
          <w:numId w:val="2"/>
        </w:numPr>
        <w:spacing w:after="80"/>
      </w:pPr>
      <w:r>
        <w:rPr>
          <w:b w:val="false"/>
          <w:bCs w:val="false"/>
        </w:rPr>
        <w:t xml:space="preserve">Chennai's office market recorded gross leasing of 1.27 million sq ft in Q2 2026, with GCCs accounting for 46% of leasing activity, reinforcing OMR and the South-West zone's ~80% share of the city's projected 100 million sq ft Grade-A office stock.</w:t>
      </w:r>
    </w:p>
    <w:p>
      <w:pPr>
        <w:pStyle w:val="ListParagraph"/>
        <w:numPr>
          <w:ilvl w:val="0"/>
          <w:numId w:val="2"/>
        </w:numPr>
        <w:spacing w:after="80"/>
      </w:pPr>
      <w:r>
        <w:rPr>
          <w:b w:val="false"/>
          <w:bCs w:val="false"/>
        </w:rPr>
        <w:t xml:space="preserve">Tata Projects was awarded the civil construction contract by RMZ Infinity in August 2026 to execute four commercial towers at the RMZ Infinity development on the Porur-Mount Poonamallee Road corridor.</w:t>
      </w:r>
    </w:p>
    <w:p>
      <w:pPr>
        <w:spacing w:after="150"/>
      </w:pPr>
      <w:r>
        <w:rPr>
          <w:i/>
          <w:iCs/>
          <w:color w:val="595959"/>
          <w:sz w:val="18"/>
          <w:szCs w:val="18"/>
        </w:rPr>
        <w:t xml:space="preserve">Sources: Verified.RealEstate (TN Assembly GCC-FSI announcement, OMR office stock); Cushman &amp; Wakefield Chennai MarketBeat (Q2 2026 leasing, GCC share); Verified.RealEstate/Ghar.tv (Tata Projects-RMZ Infinity contract).</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Tamil Nadu's newly announced higher-FSI programme for GCC campuses along OMR, Radial Road and Mount-Poonamallee Road represents a significant state-level policy lever to address Chennai's Grade-A office supply-demand gap.</w:t>
      </w:r>
    </w:p>
    <w:p>
      <w:pPr>
        <w:pStyle w:val="ListParagraph"/>
        <w:numPr>
          <w:ilvl w:val="0"/>
          <w:numId w:val="2"/>
        </w:numPr>
        <w:spacing w:after="80"/>
      </w:pPr>
      <w:r>
        <w:rPr>
          <w:b w:val="false"/>
          <w:bCs w:val="false"/>
        </w:rPr>
        <w:t xml:space="preserve">CREDAI continues to implement the Centre's four-month RERA project-extension advisory for projects with completion deadlines on or after 28 February 2026, with Tamil Nadu and Telangana developers among the direct beneficiaries.</w:t>
      </w:r>
    </w:p>
    <w:p>
      <w:pPr>
        <w:pStyle w:val="ListParagraph"/>
        <w:numPr>
          <w:ilvl w:val="0"/>
          <w:numId w:val="2"/>
        </w:numPr>
        <w:spacing w:after="80"/>
      </w:pPr>
      <w:r>
        <w:rPr>
          <w:b w:val="false"/>
          <w:bCs w:val="false"/>
        </w:rPr>
        <w:t xml:space="preserve">South Indian CREDAI chapters continue to track Karnataka's K-RERA reconstitution and Telangana's ongoing HYDRAA-Section 22A disruption as parallel regulatory developments shaping the region's compliance landscape.</w:t>
      </w:r>
    </w:p>
    <w:p>
      <w:pPr>
        <w:spacing w:after="150"/>
      </w:pPr>
      <w:r>
        <w:rPr>
          <w:i/>
          <w:iCs/>
          <w:color w:val="595959"/>
          <w:sz w:val="18"/>
          <w:szCs w:val="18"/>
        </w:rPr>
        <w:t xml:space="preserve">Sources: Verified.RealEstate (TN Assembly GCC-FSI announcement); Business Standard (MoHUA advisory); Deccan Herald.</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REIT market capitalisation crossed ₹2 lakh crore in August 2026, with the country's six publicly listed REITs collectively distributing ₹3,136 crore to over 485,000 unitholders in Q1 FY27 (April-June 2026).</w:t>
      </w:r>
    </w:p>
    <w:p>
      <w:pPr>
        <w:pStyle w:val="ListParagraph"/>
        <w:numPr>
          <w:ilvl w:val="0"/>
          <w:numId w:val="2"/>
        </w:numPr>
        <w:spacing w:after="80"/>
      </w:pPr>
      <w:r>
        <w:rPr>
          <w:b w:val="false"/>
          <w:bCs w:val="false"/>
        </w:rPr>
        <w:t xml:space="preserve">SEBI's continued push for SM-REITs (Small and Medium REITs) is expected to unlock an addressable opportunity exceeding USD 60 billion, positioning fractional, SEBI-regulated ownership as one of the fastest-growing frontiers of India's realty story.</w:t>
      </w:r>
    </w:p>
    <w:p>
      <w:pPr>
        <w:pStyle w:val="ListParagraph"/>
        <w:numPr>
          <w:ilvl w:val="0"/>
          <w:numId w:val="2"/>
        </w:numPr>
        <w:spacing w:after="80"/>
      </w:pPr>
      <w:r>
        <w:rPr>
          <w:b w:val="false"/>
          <w:bCs w:val="false"/>
        </w:rPr>
        <w:t xml:space="preserve">Tamil Nadu's new higher-FSI programme for GCC campuses mirrors similar density-easing measures being pursued in Karnataka and Telangana, reflecting a broader national trend of states competing to attract GCC-anchored investment.</w:t>
      </w:r>
    </w:p>
    <w:p>
      <w:pPr>
        <w:spacing w:after="150"/>
      </w:pPr>
      <w:r>
        <w:rPr>
          <w:i/>
          <w:iCs/>
          <w:color w:val="595959"/>
          <w:sz w:val="18"/>
          <w:szCs w:val="18"/>
        </w:rPr>
        <w:t xml:space="preserve">Sources: Business Standard/Whalesbook (REIT market cap, Q1 FY27 distributions); GeoSquare/RealNewsOfIndia (SM-REIT opportunity); Verified.RealEstate.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Embassy Office Parks REIT hosted a virtual investor meet on 27 August 2026, organised by Avendus, providing institutional investors an update on the trust's operational outlook amid the broader REIT market's ₹2 lakh crore milestone.</w:t>
      </w:r>
    </w:p>
    <w:p>
      <w:pPr>
        <w:pStyle w:val="ListParagraph"/>
        <w:numPr>
          <w:ilvl w:val="0"/>
          <w:numId w:val="2"/>
        </w:numPr>
        <w:spacing w:after="80"/>
      </w:pPr>
      <w:r>
        <w:rPr>
          <w:b w:val="false"/>
          <w:bCs w:val="false"/>
        </w:rPr>
        <w:t xml:space="preserve">Chennai's Q2 2026 office leasing (1.27 million sq ft, 46% GCC share) and Bengaluru's continued GCC-driven absorption together illustrate GCCs' sustained centrality to India's national commercial real estate demand.</w:t>
      </w:r>
    </w:p>
    <w:p>
      <w:pPr>
        <w:pStyle w:val="ListParagraph"/>
        <w:numPr>
          <w:ilvl w:val="0"/>
          <w:numId w:val="2"/>
        </w:numPr>
        <w:spacing w:after="80"/>
      </w:pPr>
      <w:r>
        <w:rPr>
          <w:b w:val="false"/>
          <w:bCs w:val="false"/>
        </w:rPr>
        <w:t xml:space="preserve">Tata Projects' new RMZ Infinity contract in Chennai reflects continued large-scale institutional construction activity even as the broader residential market navigates a structural shift toward premiumisation.</w:t>
      </w:r>
    </w:p>
    <w:p>
      <w:pPr>
        <w:spacing w:after="150"/>
      </w:pPr>
      <w:r>
        <w:rPr>
          <w:i/>
          <w:iCs/>
          <w:color w:val="595959"/>
          <w:sz w:val="18"/>
          <w:szCs w:val="18"/>
        </w:rPr>
        <w:t xml:space="preserve">Sources: ScanX (Embassy REIT investor meet); Cushman &amp; Wakefield Chennai MarketBeat; Verified.RealEstate/Ghar.tv.</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four-month RERA extension advisory, covering projects with completion deadlines on or after 28 February 2026, continues to be implemented at the state level nationally.</w:t>
      </w:r>
    </w:p>
    <w:p>
      <w:pPr>
        <w:pStyle w:val="ListParagraph"/>
        <w:numPr>
          <w:ilvl w:val="0"/>
          <w:numId w:val="2"/>
        </w:numPr>
        <w:spacing w:after="80"/>
      </w:pPr>
      <w:r>
        <w:rPr>
          <w:b w:val="false"/>
          <w:bCs w:val="false"/>
        </w:rPr>
        <w:t xml:space="preserve">Tamil Nadu's new GCC-FSI programme adds to a growing list of state-level density and infrastructure incentives — alongside Karnataka's pending guidance-value notification and Telangana's TDR liberalisation — competing to attract GCC and institutional investment.</w:t>
      </w:r>
    </w:p>
    <w:p>
      <w:pPr>
        <w:pStyle w:val="ListParagraph"/>
        <w:numPr>
          <w:ilvl w:val="0"/>
          <w:numId w:val="2"/>
        </w:numPr>
        <w:spacing w:after="80"/>
      </w:pPr>
      <w:r>
        <w:rPr>
          <w:b w:val="false"/>
          <w:bCs w:val="false"/>
        </w:rPr>
        <w:t xml:space="preserve">India's REIT market crossing ₹2 lakh crore in market capitalisation, alongside SEBI's SM-REIT push, signals continued institutionalisation of the national real estate sector even as individual state regulators navigate their own governance transitions.</w:t>
      </w:r>
    </w:p>
    <w:p>
      <w:pPr>
        <w:spacing w:after="150"/>
      </w:pPr>
      <w:r>
        <w:rPr>
          <w:i/>
          <w:iCs/>
          <w:color w:val="595959"/>
          <w:sz w:val="18"/>
          <w:szCs w:val="18"/>
        </w:rPr>
        <w:t xml:space="preserve">Sources: Business Standard; Verified.RealEstate; GeoSquare/RealNewsOfIndia.</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2026-08-27T03:42:01.799Z</dcterms:created>
  <dcterms:modified xsi:type="dcterms:W3CDTF">2026-08-27T03:42:01.812Z</dcterms:modified>
</cp:coreProperties>
</file>

<file path=docProps/custom.xml><?xml version="1.0" encoding="utf-8"?>
<Properties xmlns="http://schemas.openxmlformats.org/officeDocument/2006/custom-properties" xmlns:vt="http://schemas.openxmlformats.org/officeDocument/2006/docPropsVTypes"/>
</file>