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jc w:val="center"/>
      </w:pPr>
      <w:r>
        <w:t xml:space="preserve">NBR Group – Daily Morning Real Estate Digest</w:t>
      </w:r>
    </w:p>
    <w:p>
      <w:pPr>
        <w:spacing w:after="300"/>
        <w:jc w:val="center"/>
      </w:pPr>
      <w:r>
        <w:rPr>
          <w:i/>
          <w:iCs/>
          <w:color w:val="595959"/>
          <w:sz w:val="22"/>
          <w:szCs w:val="22"/>
        </w:rPr>
        <w:t xml:space="preserve">Compiled for Senior Management  |  Sunday, 2 August 2026  |  For internal circulation</w:t>
      </w:r>
    </w:p>
    <w:p>
      <w:pPr>
        <w:spacing w:after="120"/>
      </w:pPr>
      <w:r>
        <w:t xml:space="preserve">This digest tracks residential-led news and updates across the real estate sector, with additional coverage of commercial, industrial and leasing activity, structured across three layers: (1) Bengaluru &amp; Karnataka, (2) South India, and (3) National. RERA and CREDAI updates are reported within each respective layer.</w:t>
      </w:r>
    </w:p>
    <w:p>
      <w:pPr>
        <w:pStyle w:val="Heading1"/>
        <w:pBdr>
          <w:bottom w:val="single" w:color="1F3864" w:sz="12" w:space="4"/>
        </w:pBdr>
        <w:spacing w:after="150" w:before="400"/>
      </w:pPr>
      <w:r>
        <w:rPr>
          <w:b/>
          <w:bCs/>
          <w:color w:val="1F3864"/>
        </w:rPr>
        <w:t xml:space="preserve">Layer 1 — Bengaluru &amp; Karnataka</w:t>
      </w:r>
    </w:p>
    <w:p>
      <w:pPr>
        <w:pStyle w:val="Heading2"/>
        <w:spacing w:after="100" w:before="200"/>
      </w:pPr>
      <w:r>
        <w:rPr>
          <w:b/>
          <w:bCs/>
          <w:color w:val="C00000"/>
        </w:rPr>
        <w:t xml:space="preserve">Residential</w:t>
      </w:r>
    </w:p>
    <w:p>
      <w:pPr>
        <w:pStyle w:val="ListParagraph"/>
        <w:numPr>
          <w:ilvl w:val="0"/>
          <w:numId w:val="2"/>
        </w:numPr>
        <w:spacing w:after="80"/>
      </w:pPr>
      <w:r>
        <w:rPr>
          <w:b w:val="false"/>
          <w:bCs w:val="false"/>
        </w:rPr>
        <w:t xml:space="preserve">Century Real Estate posted more than double net profit with sales bookings of ₹1,062 crore in the July–September period, up from ₹452 crore a year earlier — a strong signal of continued developer momentum in the city.</w:t>
      </w:r>
    </w:p>
    <w:p>
      <w:pPr>
        <w:pStyle w:val="ListParagraph"/>
        <w:numPr>
          <w:ilvl w:val="0"/>
          <w:numId w:val="2"/>
        </w:numPr>
        <w:spacing w:after="80"/>
      </w:pPr>
      <w:r>
        <w:rPr>
          <w:b w:val="false"/>
          <w:bCs w:val="false"/>
        </w:rPr>
        <w:t xml:space="preserve">Century Real Estate's planned ₹3,000 crore mixed-use project in East Bengaluru (1.7 million sq ft residential space, 750 apartments) continues to anchor the city's large-format residential pipeline, alongside dedicated commercial and retail zones.</w:t>
      </w:r>
    </w:p>
    <w:p>
      <w:pPr>
        <w:pStyle w:val="ListParagraph"/>
        <w:numPr>
          <w:ilvl w:val="0"/>
          <w:numId w:val="2"/>
        </w:numPr>
        <w:spacing w:after="80"/>
      </w:pPr>
      <w:r>
        <w:rPr>
          <w:b w:val="false"/>
          <w:bCs w:val="false"/>
        </w:rPr>
        <w:t xml:space="preserve">Bengaluru's residential demand continues to be underpinned by strong developer-level financial performance, even as the city separately manages elevated unsold inventory.</w:t>
      </w:r>
    </w:p>
    <w:p>
      <w:pPr>
        <w:spacing w:after="150"/>
      </w:pPr>
      <w:r>
        <w:rPr>
          <w:i/>
          <w:iCs/>
          <w:color w:val="595959"/>
          <w:sz w:val="18"/>
          <w:szCs w:val="18"/>
        </w:rPr>
        <w:t xml:space="preserve">Sources: Business Standard (Century Real Estate).</w:t>
      </w:r>
    </w:p>
    <w:p>
      <w:pPr>
        <w:pStyle w:val="Heading2"/>
        <w:spacing w:after="100" w:before="200"/>
      </w:pPr>
      <w:r>
        <w:rPr>
          <w:b/>
          <w:bCs/>
          <w:color w:val="C00000"/>
        </w:rPr>
        <w:t xml:space="preserve">Commercial, Industrial &amp; Leasing</w:t>
      </w:r>
    </w:p>
    <w:p>
      <w:pPr>
        <w:pStyle w:val="ListParagraph"/>
        <w:numPr>
          <w:ilvl w:val="0"/>
          <w:numId w:val="2"/>
        </w:numPr>
        <w:spacing w:after="80"/>
      </w:pPr>
      <w:r>
        <w:rPr>
          <w:b w:val="false"/>
          <w:bCs w:val="false"/>
        </w:rPr>
        <w:t xml:space="preserve">Bengaluru's office market sustained strong momentum in Q2 2026, with 5.6 million sq ft of gross leasing; GCCs accounted for 52% of quarterly leasing, with Outer Ring Road and Peripheral East continuing to attract the highest leasing activity.</w:t>
      </w:r>
    </w:p>
    <w:p>
      <w:pPr>
        <w:pStyle w:val="ListParagraph"/>
        <w:numPr>
          <w:ilvl w:val="0"/>
          <w:numId w:val="2"/>
        </w:numPr>
        <w:spacing w:after="80"/>
      </w:pPr>
      <w:r>
        <w:rPr>
          <w:b w:val="false"/>
          <w:bCs w:val="false"/>
        </w:rPr>
        <w:t xml:space="preserve">Grade A office supply hit a record 5.8 million sq ft in Q2 2026, with rentals continuing to appreciate on sustained demand for quality commercial space.</w:t>
      </w:r>
    </w:p>
    <w:p>
      <w:pPr>
        <w:pStyle w:val="ListParagraph"/>
        <w:numPr>
          <w:ilvl w:val="0"/>
          <w:numId w:val="2"/>
        </w:numPr>
        <w:spacing w:after="80"/>
      </w:pPr>
      <w:r>
        <w:rPr>
          <w:b w:val="false"/>
          <w:bCs w:val="false"/>
        </w:rPr>
        <w:t xml:space="preserve">Bengaluru logged ~1.9 million sq ft of warehouse leasing in H2 2025, led by strong activity in Hoskote and Nelamangala, with 3PL and retail the key demand drivers.</w:t>
      </w:r>
    </w:p>
    <w:p>
      <w:pPr>
        <w:spacing w:after="150"/>
      </w:pPr>
      <w:r>
        <w:rPr>
          <w:i/>
          <w:iCs/>
          <w:color w:val="595959"/>
          <w:sz w:val="18"/>
          <w:szCs w:val="18"/>
        </w:rPr>
        <w:t xml:space="preserve">Sources: Cushman &amp; Wakefield Bengaluru MarketBeat; NoBroker Times.</w:t>
      </w:r>
    </w:p>
    <w:p>
      <w:pPr>
        <w:pStyle w:val="Heading2"/>
        <w:spacing w:after="100" w:before="200"/>
      </w:pPr>
      <w:r>
        <w:rPr>
          <w:b/>
          <w:bCs/>
          <w:color w:val="C00000"/>
        </w:rPr>
        <w:t xml:space="preserve">Karnataka RERA &amp; CREDAI Updates</w:t>
      </w:r>
    </w:p>
    <w:p>
      <w:pPr>
        <w:pStyle w:val="ListParagraph"/>
        <w:numPr>
          <w:ilvl w:val="0"/>
          <w:numId w:val="2"/>
        </w:numPr>
        <w:spacing w:after="80"/>
      </w:pPr>
      <w:r>
        <w:rPr>
          <w:b w:val="false"/>
          <w:bCs w:val="false"/>
        </w:rPr>
        <w:t xml:space="preserve">The Central government has advised state RERAs, including K-RERA, to extend project registration and completion timelines by four months for developments affected by delays linked to the recent West Asia conflict.</w:t>
      </w:r>
    </w:p>
    <w:p>
      <w:pPr>
        <w:pStyle w:val="ListParagraph"/>
        <w:numPr>
          <w:ilvl w:val="0"/>
          <w:numId w:val="2"/>
        </w:numPr>
        <w:spacing w:after="80"/>
      </w:pPr>
      <w:r>
        <w:rPr>
          <w:b w:val="false"/>
          <w:bCs w:val="false"/>
        </w:rPr>
        <w:t xml:space="preserve">CREDAI national president Shekhar Patel has welcomed the government's timeline-extension advisory as a positive step aligned with the sector's needs, a stance echoed by CREDAI Karnataka on behalf of its Bengaluru-based members.</w:t>
      </w:r>
    </w:p>
    <w:p>
      <w:pPr>
        <w:pStyle w:val="ListParagraph"/>
        <w:numPr>
          <w:ilvl w:val="0"/>
          <w:numId w:val="2"/>
        </w:numPr>
        <w:spacing w:after="80"/>
      </w:pPr>
      <w:r>
        <w:rPr>
          <w:b w:val="false"/>
          <w:bCs w:val="false"/>
        </w:rPr>
        <w:t xml:space="preserve">K-RERA continues to implement this advisory alongside its existing compliance drive (audit-report penalties, developer rating system), adding a further layer of near-term regulatory flexibility for the state's developers.</w:t>
      </w:r>
    </w:p>
    <w:p>
      <w:pPr>
        <w:spacing w:after="150"/>
      </w:pPr>
      <w:r>
        <w:rPr>
          <w:i/>
          <w:iCs/>
          <w:color w:val="595959"/>
          <w:sz w:val="18"/>
          <w:szCs w:val="18"/>
        </w:rPr>
        <w:t xml:space="preserve">Sources: Business Standard; CREDAI Karnataka.</w:t>
      </w:r>
    </w:p>
    <w:p>
      <w:pPr>
        <w:pStyle w:val="Heading1"/>
        <w:pBdr>
          <w:bottom w:val="single" w:color="1F3864" w:sz="12" w:space="4"/>
        </w:pBdr>
        <w:spacing w:after="150" w:before="400"/>
      </w:pPr>
      <w:r>
        <w:rPr>
          <w:b/>
          <w:bCs/>
          <w:color w:val="1F3864"/>
        </w:rPr>
        <w:t xml:space="preserve">Layer 2 — South India</w:t>
      </w:r>
    </w:p>
    <w:p>
      <w:pPr>
        <w:pStyle w:val="Heading2"/>
        <w:spacing w:after="100" w:before="200"/>
      </w:pPr>
      <w:r>
        <w:rPr>
          <w:b/>
          <w:bCs/>
          <w:color w:val="C00000"/>
        </w:rPr>
        <w:t xml:space="preserve">Residential</w:t>
      </w:r>
    </w:p>
    <w:p>
      <w:pPr>
        <w:pStyle w:val="ListParagraph"/>
        <w:numPr>
          <w:ilvl w:val="0"/>
          <w:numId w:val="2"/>
        </w:numPr>
        <w:spacing w:after="80"/>
      </w:pPr>
      <w:r>
        <w:rPr>
          <w:b w:val="false"/>
          <w:bCs w:val="false"/>
        </w:rPr>
        <w:t xml:space="preserve">Chennai recorded 9,198 residential sales in H1 2026, with a comfortable Quarters-to-Sell (QTS) ratio of 4.4, signalling healthy inventory levels supported by sustained end-user demand.</w:t>
      </w:r>
    </w:p>
    <w:p>
      <w:pPr>
        <w:pStyle w:val="ListParagraph"/>
        <w:numPr>
          <w:ilvl w:val="0"/>
          <w:numId w:val="2"/>
        </w:numPr>
        <w:spacing w:after="80"/>
      </w:pPr>
      <w:r>
        <w:rPr>
          <w:b w:val="false"/>
          <w:bCs w:val="false"/>
        </w:rPr>
        <w:t xml:space="preserve">Chennai's leasing activity, while moderated from last year's record levels, remains among the strongest ever recorded for the city, reflecting its enduring appeal to both domestic and global occupiers.</w:t>
      </w:r>
    </w:p>
    <w:p>
      <w:pPr>
        <w:pStyle w:val="ListParagraph"/>
        <w:numPr>
          <w:ilvl w:val="0"/>
          <w:numId w:val="2"/>
        </w:numPr>
        <w:spacing w:after="80"/>
      </w:pPr>
      <w:r>
        <w:rPr>
          <w:b w:val="false"/>
          <w:bCs w:val="false"/>
        </w:rPr>
        <w:t xml:space="preserve">Hyderabad, Bengaluru and Chennai together sold 38,644 homes in the September 2025 quarter (+47% YoY); over 800 luxury homes worth ₹11,246 crore were sold across the three cities in FY26, with Hyderabad contributing ₹1,957 crore and Chennai ₹727 crore.</w:t>
      </w:r>
    </w:p>
    <w:p>
      <w:pPr>
        <w:spacing w:after="150"/>
      </w:pPr>
      <w:r>
        <w:rPr>
          <w:i/>
          <w:iCs/>
          <w:color w:val="595959"/>
          <w:sz w:val="18"/>
          <w:szCs w:val="18"/>
        </w:rPr>
        <w:t xml:space="preserve">Sources: Expressnews/Knight Frank India; IBEF; Business Standard/PropTiger.</w:t>
      </w:r>
    </w:p>
    <w:p>
      <w:pPr>
        <w:pStyle w:val="Heading2"/>
        <w:spacing w:after="100" w:before="200"/>
      </w:pPr>
      <w:r>
        <w:rPr>
          <w:b/>
          <w:bCs/>
          <w:color w:val="C00000"/>
        </w:rPr>
        <w:t xml:space="preserve">Commercial, Industrial &amp; Leasing</w:t>
      </w:r>
    </w:p>
    <w:p>
      <w:pPr>
        <w:pStyle w:val="ListParagraph"/>
        <w:numPr>
          <w:ilvl w:val="0"/>
          <w:numId w:val="2"/>
        </w:numPr>
        <w:spacing w:after="80"/>
      </w:pPr>
      <w:r>
        <w:rPr>
          <w:b w:val="false"/>
          <w:bCs w:val="false"/>
        </w:rPr>
        <w:t xml:space="preserve">Chennai's office completions surged 149% YoY in H1 2026, with leasing reaching 3.6 million sq ft, reinforcing the city's growing office-market depth alongside its residential resilience.</w:t>
      </w:r>
    </w:p>
    <w:p>
      <w:pPr>
        <w:pStyle w:val="ListParagraph"/>
        <w:numPr>
          <w:ilvl w:val="0"/>
          <w:numId w:val="2"/>
        </w:numPr>
        <w:spacing w:after="80"/>
      </w:pPr>
      <w:r>
        <w:rPr>
          <w:b w:val="false"/>
          <w:bCs w:val="false"/>
        </w:rPr>
        <w:t xml:space="preserve">CREDAI Hyderabad's own market data shows 16,644 housing units sold in a recent quarter alongside 11,081 new launches, with average ticket size up 17% and inventory absorption improving 14%.</w:t>
      </w:r>
    </w:p>
    <w:p>
      <w:pPr>
        <w:pStyle w:val="ListParagraph"/>
        <w:numPr>
          <w:ilvl w:val="0"/>
          <w:numId w:val="2"/>
        </w:numPr>
        <w:spacing w:after="80"/>
      </w:pPr>
      <w:r>
        <w:rPr>
          <w:b w:val="false"/>
          <w:bCs w:val="false"/>
        </w:rPr>
        <w:t xml:space="preserve">Hyderabad continues to be positioned as a hotspot for homebuyers and investors, per CREDAI Hyderabad's market reporting, reinforcing South India's broader commercial and residential momentum.</w:t>
      </w:r>
    </w:p>
    <w:p>
      <w:pPr>
        <w:spacing w:after="150"/>
      </w:pPr>
      <w:r>
        <w:rPr>
          <w:i/>
          <w:iCs/>
          <w:color w:val="595959"/>
          <w:sz w:val="18"/>
          <w:szCs w:val="18"/>
        </w:rPr>
        <w:t xml:space="preserve">Sources: Expressnews/Knight Frank India; RERA.news/CREDAI Hyderabad Report.</w:t>
      </w:r>
    </w:p>
    <w:p>
      <w:pPr>
        <w:pStyle w:val="Heading2"/>
        <w:spacing w:after="100" w:before="200"/>
      </w:pPr>
      <w:r>
        <w:rPr>
          <w:b/>
          <w:bCs/>
          <w:color w:val="C00000"/>
        </w:rPr>
        <w:t xml:space="preserve">South India RERA &amp; CREDAI Updates</w:t>
      </w:r>
    </w:p>
    <w:p>
      <w:pPr>
        <w:pStyle w:val="ListParagraph"/>
        <w:numPr>
          <w:ilvl w:val="0"/>
          <w:numId w:val="2"/>
        </w:numPr>
        <w:spacing w:after="80"/>
      </w:pPr>
      <w:r>
        <w:rPr>
          <w:b w:val="false"/>
          <w:bCs w:val="false"/>
        </w:rPr>
        <w:t xml:space="preserve">The Centre's four-month RERA timeline-extension advisory (for projects delayed by the West Asia conflict) applies equally to Telangana, Tamil Nadu and Karnataka developers managing similar supply-chain disruptions.</w:t>
      </w:r>
    </w:p>
    <w:p>
      <w:pPr>
        <w:pStyle w:val="ListParagraph"/>
        <w:numPr>
          <w:ilvl w:val="0"/>
          <w:numId w:val="2"/>
        </w:numPr>
        <w:spacing w:after="80"/>
      </w:pPr>
      <w:r>
        <w:rPr>
          <w:b w:val="false"/>
          <w:bCs w:val="false"/>
        </w:rPr>
        <w:t xml:space="preserve">CREDAI's NATCON event in Singapore featured a new Colliers-CREDAI report, "Indian Real Estate: Fostering Equity and Fuelling Economic Growth", identifying five structural forces — urban expansion, infrastructure development, demographic shifts, digital transformation and sustainability — shaping the sector, with direct relevance to South India's fast-urbanising markets.</w:t>
      </w:r>
    </w:p>
    <w:p>
      <w:pPr>
        <w:pStyle w:val="ListParagraph"/>
        <w:numPr>
          <w:ilvl w:val="0"/>
          <w:numId w:val="2"/>
        </w:numPr>
        <w:spacing w:after="80"/>
      </w:pPr>
      <w:r>
        <w:rPr>
          <w:b w:val="false"/>
          <w:bCs w:val="false"/>
        </w:rPr>
        <w:t xml:space="preserve">CREDAI Hyderabad's Q4 report highlighting a 17% rise in average ticket size and 14% improvement in inventory absorption offers a template South Indian chapters may reference in their own regional reporting.</w:t>
      </w:r>
    </w:p>
    <w:p>
      <w:pPr>
        <w:spacing w:after="150"/>
      </w:pPr>
      <w:r>
        <w:rPr>
          <w:i/>
          <w:iCs/>
          <w:color w:val="595959"/>
          <w:sz w:val="18"/>
          <w:szCs w:val="18"/>
        </w:rPr>
        <w:t xml:space="preserve">Sources: Business Standard; CREDAI (credai.org)/Colliers; RERA.news/CREDAI Hyderabad Report.</w:t>
      </w:r>
    </w:p>
    <w:p>
      <w:pPr>
        <w:pStyle w:val="Heading1"/>
        <w:pBdr>
          <w:bottom w:val="single" w:color="1F3864" w:sz="12" w:space="4"/>
        </w:pBdr>
        <w:spacing w:after="150" w:before="400"/>
      </w:pPr>
      <w:r>
        <w:rPr>
          <w:b/>
          <w:bCs/>
          <w:color w:val="1F3864"/>
        </w:rPr>
        <w:t xml:space="preserve">Layer 3 — National</w:t>
      </w:r>
    </w:p>
    <w:p>
      <w:pPr>
        <w:pStyle w:val="Heading2"/>
        <w:spacing w:after="100" w:before="200"/>
      </w:pPr>
      <w:r>
        <w:rPr>
          <w:b/>
          <w:bCs/>
          <w:color w:val="C00000"/>
        </w:rPr>
        <w:t xml:space="preserve">Residential</w:t>
      </w:r>
    </w:p>
    <w:p>
      <w:pPr>
        <w:pStyle w:val="ListParagraph"/>
        <w:numPr>
          <w:ilvl w:val="0"/>
          <w:numId w:val="2"/>
        </w:numPr>
        <w:spacing w:after="80"/>
      </w:pPr>
      <w:r>
        <w:rPr>
          <w:b w:val="false"/>
          <w:bCs w:val="false"/>
        </w:rPr>
        <w:t xml:space="preserve">The Central government has advised RERAs nationwide to extend project registration and completion timelines by four months for developments affected by delays linked to the recent West Asia conflict — a move CREDAI president Shekhar Patel called a positive step aligned with the sector's needs.</w:t>
      </w:r>
    </w:p>
    <w:p>
      <w:pPr>
        <w:pStyle w:val="ListParagraph"/>
        <w:numPr>
          <w:ilvl w:val="0"/>
          <w:numId w:val="2"/>
        </w:numPr>
        <w:spacing w:after="80"/>
      </w:pPr>
      <w:r>
        <w:rPr>
          <w:b w:val="false"/>
          <w:bCs w:val="false"/>
        </w:rPr>
        <w:t xml:space="preserve">India's Grade A office stock has surged more than three-fold since 2010 to over 800 million sq ft, driven by accelerated demand from Global Capability Centres and domestic occupiers, per the new Colliers-CREDAI report.</w:t>
      </w:r>
    </w:p>
    <w:p>
      <w:pPr>
        <w:pStyle w:val="ListParagraph"/>
        <w:numPr>
          <w:ilvl w:val="0"/>
          <w:numId w:val="2"/>
        </w:numPr>
        <w:spacing w:after="80"/>
      </w:pPr>
      <w:r>
        <w:rPr>
          <w:b w:val="false"/>
          <w:bCs w:val="false"/>
        </w:rPr>
        <w:t xml:space="preserve">Industrial and warehousing Grade A stock surpassed 250 million sq ft in 2025, underscoring the scale of India's logistics real estate expansion over the past decade.</w:t>
      </w:r>
    </w:p>
    <w:p>
      <w:pPr>
        <w:spacing w:after="150"/>
      </w:pPr>
      <w:r>
        <w:rPr>
          <w:i/>
          <w:iCs/>
          <w:color w:val="595959"/>
          <w:sz w:val="18"/>
          <w:szCs w:val="18"/>
        </w:rPr>
        <w:t xml:space="preserve">Sources: Business Standard; CREDAI (credai.org)/Colliers.</w:t>
      </w:r>
    </w:p>
    <w:p>
      <w:pPr>
        <w:pStyle w:val="Heading2"/>
        <w:spacing w:after="100" w:before="200"/>
      </w:pPr>
      <w:r>
        <w:rPr>
          <w:b/>
          <w:bCs/>
          <w:color w:val="C00000"/>
        </w:rPr>
        <w:t xml:space="preserve">Commercial, Industrial &amp; Leasing</w:t>
      </w:r>
    </w:p>
    <w:p>
      <w:pPr>
        <w:pStyle w:val="ListParagraph"/>
        <w:numPr>
          <w:ilvl w:val="0"/>
          <w:numId w:val="2"/>
        </w:numPr>
        <w:spacing w:after="80"/>
      </w:pPr>
      <w:r>
        <w:rPr>
          <w:b w:val="false"/>
          <w:bCs w:val="false"/>
        </w:rPr>
        <w:t xml:space="preserve">The Colliers-CREDAI report "Indian Real Estate: Fostering Equity and Fuelling Economic Growth", released at CREDAI NATCON in Singapore, identifies urban expansion, infrastructure development, demographic shifts, digital transformation and sustainability as the five structural forces shaping India's real estate sector.</w:t>
      </w:r>
    </w:p>
    <w:p>
      <w:pPr>
        <w:pStyle w:val="ListParagraph"/>
        <w:numPr>
          <w:ilvl w:val="0"/>
          <w:numId w:val="2"/>
        </w:numPr>
        <w:spacing w:after="80"/>
      </w:pPr>
      <w:r>
        <w:rPr>
          <w:b w:val="false"/>
          <w:bCs w:val="false"/>
        </w:rPr>
        <w:t xml:space="preserve">Construction costs are projected to rise 3–5% across all asset classes nationally in 2026, per a recent Construction Cost Guide estimate, a factor likely to influence commercial and residential development budgets alike.</w:t>
      </w:r>
    </w:p>
    <w:p>
      <w:pPr>
        <w:pStyle w:val="ListParagraph"/>
        <w:numPr>
          <w:ilvl w:val="0"/>
          <w:numId w:val="2"/>
        </w:numPr>
        <w:spacing w:after="80"/>
      </w:pPr>
      <w:r>
        <w:rPr>
          <w:b w:val="false"/>
          <w:bCs w:val="false"/>
        </w:rPr>
        <w:t xml:space="preserve">India's office and industrial asset base continues to scale rapidly, with Grade A office stock above 800 million sq ft and industrial/warehousing Grade A stock above 250 million sq ft, reflecting sustained institutional-grade real estate expansion nationally.</w:t>
      </w:r>
    </w:p>
    <w:p>
      <w:pPr>
        <w:spacing w:after="150"/>
      </w:pPr>
      <w:r>
        <w:rPr>
          <w:i/>
          <w:iCs/>
          <w:color w:val="595959"/>
          <w:sz w:val="18"/>
          <w:szCs w:val="18"/>
        </w:rPr>
        <w:t xml:space="preserve">Sources: CREDAI (credai.org)/Colliers; Construction Cost Guide (via CREDAI/RERA.news).</w:t>
      </w:r>
    </w:p>
    <w:p>
      <w:pPr>
        <w:pStyle w:val="Heading2"/>
        <w:spacing w:after="100" w:before="200"/>
      </w:pPr>
      <w:r>
        <w:rPr>
          <w:b/>
          <w:bCs/>
          <w:color w:val="C00000"/>
        </w:rPr>
        <w:t xml:space="preserve">National CREDAI &amp; RERA Updates</w:t>
      </w:r>
    </w:p>
    <w:p>
      <w:pPr>
        <w:pStyle w:val="ListParagraph"/>
        <w:numPr>
          <w:ilvl w:val="0"/>
          <w:numId w:val="2"/>
        </w:numPr>
        <w:spacing w:after="80"/>
      </w:pPr>
      <w:r>
        <w:rPr>
          <w:b w:val="false"/>
          <w:bCs w:val="false"/>
        </w:rPr>
        <w:t xml:space="preserve">The Centre's four-month RERA timeline-extension advisory, prompted by delays linked to the recent West Asia conflict, marks a significant near-term regulatory accommodation for developers nationally.</w:t>
      </w:r>
    </w:p>
    <w:p>
      <w:pPr>
        <w:pStyle w:val="ListParagraph"/>
        <w:numPr>
          <w:ilvl w:val="0"/>
          <w:numId w:val="2"/>
        </w:numPr>
        <w:spacing w:after="80"/>
      </w:pPr>
      <w:r>
        <w:rPr>
          <w:b w:val="false"/>
          <w:bCs w:val="false"/>
        </w:rPr>
        <w:t xml:space="preserve">CREDAI national president Shekhar Patel welcomed the advisory as a positive step, reinforcing CREDAI's ongoing advocacy for pragmatic RERA timeline flexibility amid external supply-chain and geopolitical disruptions.</w:t>
      </w:r>
    </w:p>
    <w:p>
      <w:pPr>
        <w:pStyle w:val="ListParagraph"/>
        <w:numPr>
          <w:ilvl w:val="0"/>
          <w:numId w:val="2"/>
        </w:numPr>
        <w:spacing w:after="80"/>
      </w:pPr>
      <w:r>
        <w:rPr>
          <w:b w:val="false"/>
          <w:bCs w:val="false"/>
        </w:rPr>
        <w:t xml:space="preserve">RERA's national framework continues to be credited with reshaping India's housing market and boosting investor confidence, even as the sector adapts to new external shocks requiring regulatory flexibility.</w:t>
      </w:r>
    </w:p>
    <w:p>
      <w:pPr>
        <w:spacing w:after="150"/>
      </w:pPr>
      <w:r>
        <w:rPr>
          <w:i/>
          <w:iCs/>
          <w:color w:val="595959"/>
          <w:sz w:val="18"/>
          <w:szCs w:val="18"/>
        </w:rPr>
        <w:t xml:space="preserve">Sources: Business Standard; CREDAI (credai.org).</w:t>
      </w:r>
    </w:p>
    <w:p>
      <w:pPr>
        <w:pBdr>
          <w:top w:val="single" w:color="BFBFBF" w:sz="6" w:space="4"/>
        </w:pBdr>
        <w:spacing w:before="400"/>
      </w:pPr>
      <w:r>
        <w:rPr>
          <w:i/>
          <w:iCs/>
          <w:color w:val="595959"/>
          <w:sz w:val="16"/>
          <w:szCs w:val="16"/>
        </w:rPr>
        <w:t xml:space="preserve">Methodology note: This digest is compiled through web-based monitoring of real estate trade portals (ET Realty, Moneycontrol Real Estate/Property, Housing.com, Magicbricks, RealtyNXT, Realty Plus) and other business media, RERA authority orders/notices, and CREDAI communications. Some publisher sites restrict direct automated access; where that occurs, coverage is corroborated through secondary reporting and cited accordingly. Figures are the latest publicly available as of the digest date and should be independently verified before use in decision-making.</w:t>
      </w:r>
    </w:p>
    <w:sectPr>
      <w:pgSz w:w="11906" w:h="16838"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2026-08-02T03:39:53.890Z</dcterms:created>
  <dcterms:modified xsi:type="dcterms:W3CDTF">2026-08-02T03:39:53.909Z</dcterms:modified>
</cp:coreProperties>
</file>

<file path=docProps/custom.xml><?xml version="1.0" encoding="utf-8"?>
<Properties xmlns="http://schemas.openxmlformats.org/officeDocument/2006/custom-properties" xmlns:vt="http://schemas.openxmlformats.org/officeDocument/2006/docPropsVTypes"/>
</file>