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7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HSR Layout has posted one of Bengaluru's most robust price trajectories over the past two years, with apartments now listed at ₹11,000–18,000 per sq ft — among the city's priciest micro-markets — driven by planned infrastructure and proximity to major IT corridors.</w:t>
      </w:r>
    </w:p>
    <w:p>
      <w:pPr>
        <w:pStyle w:val="ListParagraph"/>
        <w:numPr>
          <w:ilvl w:val="0"/>
          <w:numId w:val="2"/>
        </w:numPr>
        <w:spacing w:after="80"/>
      </w:pPr>
      <w:r>
        <w:rPr>
          <w:b w:val="false"/>
          <w:bCs w:val="false"/>
        </w:rPr>
        <w:t xml:space="preserve">The Yellow Line metro, operational since August 2025, connects HSR Layout to Central Silk Board and the broader Namma Metro network, reinforcing the corridor's continued appeal alongside neighbouring Koramangala and Indiranagar.</w:t>
      </w:r>
    </w:p>
    <w:p>
      <w:pPr>
        <w:pStyle w:val="ListParagraph"/>
        <w:numPr>
          <w:ilvl w:val="0"/>
          <w:numId w:val="2"/>
        </w:numPr>
        <w:spacing w:after="80"/>
      </w:pPr>
      <w:r>
        <w:rPr>
          <w:b w:val="false"/>
          <w:bCs w:val="false"/>
        </w:rPr>
        <w:t xml:space="preserve">Koramangala, Indiranagar and HSR Layout remain strongholds for mid-to-luxury tenants, with limited inventory pushing rents higher — 2 BHK units now start around ₹35,000 per month, with projected rental appreciation of 10–20% this year.</w:t>
      </w:r>
    </w:p>
    <w:p>
      <w:pPr>
        <w:spacing w:after="150"/>
      </w:pPr>
      <w:r>
        <w:rPr>
          <w:i/>
          <w:iCs/>
          <w:color w:val="595959"/>
          <w:sz w:val="18"/>
          <w:szCs w:val="18"/>
        </w:rPr>
        <w:t xml:space="preserve">Sources: SquareYards/NxtFootstep (HSR Layout pricing, Yellow Line connectivity); Beegru (HSR Layout vs Koramangala rental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Koramangala's dense startup ecosystem continues to drive strong co-working and small-format office leasing demand, reinforcing the corridor's identity as Bengaluru's premier startup and social-infrastructure hub.</w:t>
      </w:r>
    </w:p>
    <w:p>
      <w:pPr>
        <w:pStyle w:val="ListParagraph"/>
        <w:numPr>
          <w:ilvl w:val="0"/>
          <w:numId w:val="2"/>
        </w:numPr>
        <w:spacing w:after="80"/>
      </w:pPr>
      <w:r>
        <w:rPr>
          <w:b w:val="false"/>
          <w:bCs w:val="false"/>
        </w:rPr>
        <w:t xml:space="preserve">HSR Layout's proximity to Bellandur, Sarjapur Road and the Outer Ring Road IT corridor continues to anchor strong office-linked residential demand even as new supply in the micro-market remains constrained.</w:t>
      </w:r>
    </w:p>
    <w:p>
      <w:pPr>
        <w:pStyle w:val="ListParagraph"/>
        <w:numPr>
          <w:ilvl w:val="0"/>
          <w:numId w:val="2"/>
        </w:numPr>
        <w:spacing w:after="80"/>
      </w:pPr>
      <w:r>
        <w:rPr>
          <w:b w:val="false"/>
          <w:bCs w:val="false"/>
        </w:rPr>
        <w:t xml:space="preserve">Limited fresh land availability across Koramangala, Indiranagar and HSR Layout is pushing both office and residential developers toward redevelopment and vertical densification to meet sustained demand.</w:t>
      </w:r>
    </w:p>
    <w:p>
      <w:pPr>
        <w:spacing w:after="150"/>
      </w:pPr>
      <w:r>
        <w:rPr>
          <w:i/>
          <w:iCs/>
          <w:color w:val="595959"/>
          <w:sz w:val="18"/>
          <w:szCs w:val="18"/>
        </w:rPr>
        <w:t xml:space="preserve">Sources: Beegru; Estate Hive (new HSR Layout project pipeline); OneCityProperty (Bengaluru inventory constraints).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new HSR Layout launches remains a priority given the corridor's rapid, sustained price appreciation and the premium now commanded relative to most other Bengaluru micro-markets.</w:t>
      </w:r>
    </w:p>
    <w:p>
      <w:pPr>
        <w:pStyle w:val="ListParagraph"/>
        <w:numPr>
          <w:ilvl w:val="0"/>
          <w:numId w:val="2"/>
        </w:numPr>
        <w:spacing w:after="80"/>
      </w:pPr>
      <w:r>
        <w:rPr>
          <w:b w:val="false"/>
          <w:bCs w:val="false"/>
        </w:rPr>
        <w:t xml:space="preserve">CREDAI Karnataka continues to track inventory constraints across Koramangala, Indiranagar and HSR Layout as a case study in how limited land supply is reshaping developer strategy toward redevelopment in Bengaluru's established core.</w:t>
      </w:r>
    </w:p>
    <w:p>
      <w:pPr>
        <w:pStyle w:val="ListParagraph"/>
        <w:numPr>
          <w:ilvl w:val="0"/>
          <w:numId w:val="2"/>
        </w:numPr>
        <w:spacing w:after="80"/>
      </w:pPr>
      <w:r>
        <w:rPr>
          <w:b w:val="false"/>
          <w:bCs w:val="false"/>
        </w:rPr>
        <w:t xml:space="preserve">Rising rental appreciation (10–20% projected this year) across these corridors is expected to keep Karnataka's regulatory bodies focused on transparent rent- and price-disclosure practices for both new and resale transactions.</w:t>
      </w:r>
    </w:p>
    <w:p>
      <w:pPr>
        <w:spacing w:after="150"/>
      </w:pPr>
      <w:r>
        <w:rPr>
          <w:i/>
          <w:iCs/>
          <w:color w:val="595959"/>
          <w:sz w:val="18"/>
          <w:szCs w:val="18"/>
        </w:rPr>
        <w:t xml:space="preserve">Sources: SquareYards/NxtFootstep; Beegru; Estate Hive.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Coimbatore-Madurai Industrial Corridor, a National Investment Plan project, is reshaping western and southern Tamil Nadu's real estate landscape, with Coimbatore anchoring engineering and manufacturing while Madurai emerges as a logistics and regional-distribution hub.</w:t>
      </w:r>
    </w:p>
    <w:p>
      <w:pPr>
        <w:pStyle w:val="ListParagraph"/>
        <w:numPr>
          <w:ilvl w:val="0"/>
          <w:numId w:val="2"/>
        </w:numPr>
        <w:spacing w:after="80"/>
      </w:pPr>
      <w:r>
        <w:rPr>
          <w:b w:val="false"/>
          <w:bCs w:val="false"/>
        </w:rPr>
        <w:t xml:space="preserve">Property prices in tier-2 hubs like Coimbatore and Madurai rose following the Tamil Nadu Registration Department's January 2026 guideline-value revision, signalling formal government recognition of these corridors' rising land values.</w:t>
      </w:r>
    </w:p>
    <w:p>
      <w:pPr>
        <w:pStyle w:val="ListParagraph"/>
        <w:numPr>
          <w:ilvl w:val="0"/>
          <w:numId w:val="2"/>
        </w:numPr>
        <w:spacing w:after="80"/>
      </w:pPr>
      <w:r>
        <w:rPr>
          <w:b w:val="false"/>
          <w:bCs w:val="false"/>
        </w:rPr>
        <w:t xml:space="preserve">Coimbatore's residential demand continues to benefit from established connectivity via the Avinashi Road elevated corridor and airport expansion, alongside road links to Tiruppur, Salem and Kerala.</w:t>
      </w:r>
    </w:p>
    <w:p>
      <w:pPr>
        <w:spacing w:after="150"/>
      </w:pPr>
      <w:r>
        <w:rPr>
          <w:i/>
          <w:iCs/>
          <w:color w:val="595959"/>
          <w:sz w:val="18"/>
          <w:szCs w:val="18"/>
        </w:rPr>
        <w:t xml:space="preserve">Sources: Verified.RealEstate Community (Coimbatore-Madurai corridor, TN guideline revision); India Investment Grid/Pentaumec (corridor infrastructure, Coimbatore connectivity).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Coimbatore's established industrial estates continue to draw demand for industrial sheds, SME manufacturing facilities, warehouses and commercial buildings, reinforcing the city's position as western Tamil Nadu's commercial and industrial centre.</w:t>
      </w:r>
    </w:p>
    <w:p>
      <w:pPr>
        <w:pStyle w:val="ListParagraph"/>
        <w:numPr>
          <w:ilvl w:val="0"/>
          <w:numId w:val="2"/>
        </w:numPr>
        <w:spacing w:after="80"/>
      </w:pPr>
      <w:r>
        <w:rPr>
          <w:b w:val="false"/>
          <w:bCs w:val="false"/>
        </w:rPr>
        <w:t xml:space="preserve">Madurai is developing as an emerging market for IT services, logistics and regional distribution, complementing Coimbatore's engineering focus within the broader Coimbatore-Madurai Industrial Corridor.</w:t>
      </w:r>
    </w:p>
    <w:p>
      <w:pPr>
        <w:pStyle w:val="ListParagraph"/>
        <w:numPr>
          <w:ilvl w:val="0"/>
          <w:numId w:val="2"/>
        </w:numPr>
        <w:spacing w:after="80"/>
      </w:pPr>
      <w:r>
        <w:rPr>
          <w:b w:val="false"/>
          <w:bCs w:val="false"/>
        </w:rPr>
        <w:t xml:space="preserve">The corridor's National Investment Plan status is expected to draw sustained institutional and government infrastructure investment over the coming years, positioning it as one of Tamil Nadu's key growth engines beyond Chennai.</w:t>
      </w:r>
    </w:p>
    <w:p>
      <w:pPr>
        <w:spacing w:after="150"/>
      </w:pPr>
      <w:r>
        <w:rPr>
          <w:i/>
          <w:iCs/>
          <w:color w:val="595959"/>
          <w:sz w:val="18"/>
          <w:szCs w:val="18"/>
        </w:rPr>
        <w:t xml:space="preserve">Sources: India Investment Grid; Verified.RealEstate Community; Pentaumec (Coimbatore industrial areas).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Tamil Nadu's January 2026 guideline-value revision in tier-2 hubs like Coimbatore and Madurai is expected to keep CREDAI Tamil Nadu focused on registration-cost impacts as the industrial corridor draws fresh developer interest beyond Chennai.</w:t>
      </w:r>
    </w:p>
    <w:p>
      <w:pPr>
        <w:pStyle w:val="ListParagraph"/>
        <w:numPr>
          <w:ilvl w:val="0"/>
          <w:numId w:val="2"/>
        </w:numPr>
        <w:spacing w:after="80"/>
      </w:pPr>
      <w:r>
        <w:rPr>
          <w:b w:val="false"/>
          <w:bCs w:val="false"/>
        </w:rPr>
        <w:t xml:space="preserve">The Coimbatore-Madurai Industrial Corridor's National Investment Plan backing gives Tamil Nadu's regulatory bodies a multi-year framework for coordinating industrial, logistics and residential project approvals along the belt.</w:t>
      </w:r>
    </w:p>
    <w:p>
      <w:pPr>
        <w:pStyle w:val="ListParagraph"/>
        <w:numPr>
          <w:ilvl w:val="0"/>
          <w:numId w:val="2"/>
        </w:numPr>
        <w:spacing w:after="80"/>
      </w:pPr>
      <w:r>
        <w:rPr>
          <w:b w:val="false"/>
          <w:bCs w:val="false"/>
        </w:rPr>
        <w:t xml:space="preserve">South Indian CREDAI chapters are likely to watch Coimbatore's continued diversification — from traditional manufacturing toward office space and warehousing — as a template for other Tier-2 industrial cities across the region.</w:t>
      </w:r>
    </w:p>
    <w:p>
      <w:pPr>
        <w:spacing w:after="150"/>
      </w:pPr>
      <w:r>
        <w:rPr>
          <w:i/>
          <w:iCs/>
          <w:color w:val="595959"/>
          <w:sz w:val="18"/>
          <w:szCs w:val="18"/>
        </w:rPr>
        <w:t xml:space="preserve">Sources: Verified.RealEstate Community; India Investment Grid; Pentaumec.</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National Housing Bank's Prime Lending Rate stood at 7.65% as of 1 September 2026, with the RBI's cumulative 125-basis-point repo rate cut through calendar 2025 continuing to ease EMI burdens for floating-rate home loan borrowers nationally.</w:t>
      </w:r>
    </w:p>
    <w:p>
      <w:pPr>
        <w:pStyle w:val="ListParagraph"/>
        <w:numPr>
          <w:ilvl w:val="0"/>
          <w:numId w:val="2"/>
        </w:numPr>
        <w:spacing w:after="80"/>
      </w:pPr>
      <w:r>
        <w:rPr>
          <w:b w:val="false"/>
          <w:bCs w:val="false"/>
        </w:rPr>
        <w:t xml:space="preserve">India's affordable housing finance market continues to expand in 2026, with housing finance companies (HFCs) serving as a critical alternative channel providing credit access to economically weaker sections and informal-sector borrowers underserved by traditional banks.</w:t>
      </w:r>
    </w:p>
    <w:p>
      <w:pPr>
        <w:pStyle w:val="ListParagraph"/>
        <w:numPr>
          <w:ilvl w:val="0"/>
          <w:numId w:val="2"/>
        </w:numPr>
        <w:spacing w:after="80"/>
      </w:pPr>
      <w:r>
        <w:rPr>
          <w:b w:val="false"/>
          <w:bCs w:val="false"/>
        </w:rPr>
        <w:t xml:space="preserve">NHB's Project Finance Policy continues to prioritise supply-side interventions for affordable housing stock, building on its track record of refinance assistance — including ₹7,480 crore extended to primary lending institutions for individual housing loans benefiting 65,000 families.</w:t>
      </w:r>
    </w:p>
    <w:p>
      <w:pPr>
        <w:spacing w:after="150"/>
      </w:pPr>
      <w:r>
        <w:rPr>
          <w:i/>
          <w:iCs/>
          <w:color w:val="595959"/>
          <w:sz w:val="18"/>
          <w:szCs w:val="18"/>
        </w:rPr>
        <w:t xml:space="preserve">Sources: National Housing Bank (Prime Lending Rate, Project Finance Policy); HomeFirst India (affordable housing finance market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Coimbatore-Madurai Industrial Corridor's National Investment Plan status reflects a broader national pattern of government-backed industrial corridors drawing sustained institutional investment into Tier-2 cities beyond established metros.</w:t>
      </w:r>
    </w:p>
    <w:p>
      <w:pPr>
        <w:pStyle w:val="ListParagraph"/>
        <w:numPr>
          <w:ilvl w:val="0"/>
          <w:numId w:val="2"/>
        </w:numPr>
        <w:spacing w:after="80"/>
      </w:pPr>
      <w:r>
        <w:rPr>
          <w:b w:val="false"/>
          <w:bCs w:val="false"/>
        </w:rPr>
        <w:t xml:space="preserve">Lower borrowing costs following the RBI's 2025 rate cuts are expected to support continued commercial and industrial real estate financing nationally, complementing HFCs' expanding role in underserved segments.</w:t>
      </w:r>
    </w:p>
    <w:p>
      <w:pPr>
        <w:pStyle w:val="ListParagraph"/>
        <w:numPr>
          <w:ilvl w:val="0"/>
          <w:numId w:val="2"/>
        </w:numPr>
        <w:spacing w:after="80"/>
      </w:pPr>
      <w:r>
        <w:rPr>
          <w:b w:val="false"/>
          <w:bCs w:val="false"/>
        </w:rPr>
        <w:t xml:space="preserve">Continued NHB-backed affordable housing refinance schemes are reinforcing supply-side momentum in India's mid-income and affordable commercial-residential project pipelines even as premium segments see softer institutional capital flows.</w:t>
      </w:r>
    </w:p>
    <w:p>
      <w:pPr>
        <w:spacing w:after="150"/>
      </w:pPr>
      <w:r>
        <w:rPr>
          <w:i/>
          <w:iCs/>
          <w:color w:val="595959"/>
          <w:sz w:val="18"/>
          <w:szCs w:val="18"/>
        </w:rPr>
        <w:t xml:space="preserve">Sources: India Investment Grid; National Housing Bank; HomeFirst India.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Improved affordability nationally — driven by NHB's 7.65% Prime Lending Rate and the RBI's 125-bps cumulative 2025 rate cut — is expected to be a central theme in CREDAI and NAREDCO's ongoing demand-side advocacy through the rest of 2026.</w:t>
      </w:r>
    </w:p>
    <w:p>
      <w:pPr>
        <w:pStyle w:val="ListParagraph"/>
        <w:numPr>
          <w:ilvl w:val="0"/>
          <w:numId w:val="2"/>
        </w:numPr>
        <w:spacing w:after="80"/>
      </w:pPr>
      <w:r>
        <w:rPr>
          <w:b w:val="false"/>
          <w:bCs w:val="false"/>
        </w:rPr>
        <w:t xml:space="preserve">Tamil Nadu's January 2026 guideline-value revision in Coimbatore and Madurai, alongside continued NHB-backed affordable housing refinance, illustrates how state and national policy levers are jointly shaping India's Tier-2 real estate growth story.</w:t>
      </w:r>
    </w:p>
    <w:p>
      <w:pPr>
        <w:pStyle w:val="ListParagraph"/>
        <w:numPr>
          <w:ilvl w:val="0"/>
          <w:numId w:val="2"/>
        </w:numPr>
        <w:spacing w:after="80"/>
      </w:pPr>
      <w:r>
        <w:rPr>
          <w:b w:val="false"/>
          <w:bCs w:val="false"/>
        </w:rPr>
        <w:t xml:space="preserve">Bengaluru's HSR Layout price surge and continued inventory constraints across established urban cores reinforce the case that national RERA and CREDAI bodies must balance affordability policy with managing appreciation in supply-constrained metro corridors.</w:t>
      </w:r>
    </w:p>
    <w:p>
      <w:pPr>
        <w:spacing w:after="150"/>
      </w:pPr>
      <w:r>
        <w:rPr>
          <w:i/>
          <w:iCs/>
          <w:color w:val="595959"/>
          <w:sz w:val="18"/>
          <w:szCs w:val="18"/>
        </w:rPr>
        <w:t xml:space="preserve">Sources: National Housing Bank; Verified.RealEstate Community; SquareYards/NxtFootstep.</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2026-09-07T03:40:17.630Z</dcterms:created>
  <dcterms:modified xsi:type="dcterms:W3CDTF">2026-09-07T03:40:17.647Z</dcterms:modified>
</cp:coreProperties>
</file>

<file path=docProps/custom.xml><?xml version="1.0" encoding="utf-8"?>
<Properties xmlns="http://schemas.openxmlformats.org/officeDocument/2006/custom-properties" xmlns:vt="http://schemas.openxmlformats.org/officeDocument/2006/docPropsVTypes"/>
</file>