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4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SNN Estates has launched a new residential project in North Bengaluru, with the developer citing strong revenue growth expectations and continued optimism on the city's housing sector.</w:t>
      </w:r>
    </w:p>
    <w:p>
      <w:pPr>
        <w:pStyle w:val="ListParagraph"/>
        <w:numPr>
          <w:ilvl w:val="0"/>
          <w:numId w:val="2"/>
        </w:numPr>
        <w:spacing w:after="80"/>
      </w:pPr>
      <w:r>
        <w:rPr>
          <w:b w:val="false"/>
          <w:bCs w:val="false"/>
        </w:rPr>
        <w:t xml:space="preserve">Prestige Group is set to launch Phase 2 of Raintree Park in Whitefield, adding to a wave of fresh launches from major developers including Godrej Vanantara, Puravankara Northern Lights, Bhartiya Garden Estate, Sowparnika Whispering Petals and Embassy Greenshore.</w:t>
      </w:r>
    </w:p>
    <w:p>
      <w:pPr>
        <w:pStyle w:val="ListParagraph"/>
        <w:numPr>
          <w:ilvl w:val="0"/>
          <w:numId w:val="2"/>
        </w:numPr>
        <w:spacing w:after="80"/>
      </w:pPr>
      <w:r>
        <w:rPr>
          <w:b w:val="false"/>
          <w:bCs w:val="false"/>
        </w:rPr>
        <w:t xml:space="preserve">North Bengaluru continues to be a preferred destination for homebuyers, given its proximity to major technology parks, the airport, business districts and expanding social infrastructure.</w:t>
      </w:r>
    </w:p>
    <w:p>
      <w:pPr>
        <w:pStyle w:val="ListParagraph"/>
        <w:numPr>
          <w:ilvl w:val="0"/>
          <w:numId w:val="2"/>
        </w:numPr>
        <w:spacing w:after="80"/>
      </w:pPr>
      <w:r>
        <w:rPr>
          <w:b w:val="false"/>
          <w:bCs w:val="false"/>
        </w:rPr>
        <w:t xml:space="preserve">CREDAI Bengaluru President Amar Mysore projects residential project launches and sales to grow 10–15% in the ongoing calendar year, reflecting continued optimism despite regulatory friction.</w:t>
      </w:r>
    </w:p>
    <w:p>
      <w:pPr>
        <w:spacing w:after="150"/>
      </w:pPr>
      <w:r>
        <w:rPr>
          <w:i/>
          <w:iCs/>
          <w:color w:val="595959"/>
          <w:sz w:val="18"/>
          <w:szCs w:val="18"/>
        </w:rPr>
        <w:t xml:space="preserve">Sources: BangaloreProperties blog; ABNewswire (Prestige Group); PropNewsTime/BangaloreUpcomingProjects; PR Newswire.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continued to lead India's commercial property market in H1 2026 with 14.1 million sq ft leased.</w:t>
      </w:r>
    </w:p>
    <w:p>
      <w:pPr>
        <w:pStyle w:val="ListParagraph"/>
        <w:numPr>
          <w:ilvl w:val="0"/>
          <w:numId w:val="2"/>
        </w:numPr>
        <w:spacing w:after="80"/>
      </w:pPr>
      <w:r>
        <w:rPr>
          <w:b w:val="false"/>
          <w:bCs w:val="false"/>
        </w:rPr>
        <w:t xml:space="preserve">Coastal Karnataka continues to emerge as one of India's most promising office markets, as companies increasingly expand beyond the city's traditional commercial centres.</w:t>
      </w:r>
    </w:p>
    <w:p>
      <w:pPr>
        <w:pStyle w:val="ListParagraph"/>
        <w:numPr>
          <w:ilvl w:val="0"/>
          <w:numId w:val="2"/>
        </w:numPr>
        <w:spacing w:after="80"/>
      </w:pPr>
      <w:r>
        <w:rPr>
          <w:b w:val="false"/>
          <w:bCs w:val="false"/>
        </w:rPr>
        <w:t xml:space="preserve">Century Real Estate's ₹3,000 crore, 14-acre mixed-use project off the Outer Ring Road (1.7 million sq ft residential, 750 apartments, plus 0.5 million sq ft commercial/retail) continues to anchor East Bengaluru's large-format development pipeline.</w:t>
      </w:r>
    </w:p>
    <w:p>
      <w:pPr>
        <w:spacing w:after="150"/>
      </w:pPr>
      <w:r>
        <w:rPr>
          <w:i/>
          <w:iCs/>
          <w:color w:val="595959"/>
          <w:sz w:val="18"/>
          <w:szCs w:val="18"/>
        </w:rPr>
        <w:t xml:space="preserve">Sources: Business Standard; NoBroker Times.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Bengaluru's delegation has taken its e-Khata concerns directly to BBMP's Special Commissioner (Revenue) Munish Moudgil, in addition to its earlier submission to Karnataka Revenue Minister Krishna Byre Gowda.</w:t>
      </w:r>
    </w:p>
    <w:p>
      <w:pPr>
        <w:pStyle w:val="ListParagraph"/>
        <w:numPr>
          <w:ilvl w:val="0"/>
          <w:numId w:val="2"/>
        </w:numPr>
        <w:spacing w:after="80"/>
      </w:pPr>
      <w:r>
        <w:rPr>
          <w:b w:val="false"/>
          <w:bCs w:val="false"/>
        </w:rPr>
        <w:t xml:space="preserve">CREDAI Bengaluru President Amar Mysore said the abrupt mandatory rollout of e-Khata caused an application surge and processing overflow, creating significant distress for both developers and homebuyers.</w:t>
      </w:r>
    </w:p>
    <w:p>
      <w:pPr>
        <w:pStyle w:val="ListParagraph"/>
        <w:numPr>
          <w:ilvl w:val="0"/>
          <w:numId w:val="2"/>
        </w:numPr>
        <w:spacing w:after="80"/>
      </w:pPr>
      <w:r>
        <w:rPr>
          <w:b w:val="false"/>
          <w:bCs w:val="false"/>
        </w:rPr>
        <w:t xml:space="preserve">A follow-up meeting between CREDAI Bengaluru and the Karnataka government is expected in the coming weeks to address the stamp-duty cap reinstatement and e-Khata processing concerns raised in the chapter's memorandum.</w:t>
      </w:r>
    </w:p>
    <w:p>
      <w:pPr>
        <w:spacing w:after="150"/>
      </w:pPr>
      <w:r>
        <w:rPr>
          <w:i/>
          <w:iCs/>
          <w:color w:val="595959"/>
          <w:sz w:val="18"/>
          <w:szCs w:val="18"/>
        </w:rPr>
        <w:t xml:space="preserve">Sources: Construction World; The Realty Today; PR Newswire.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Prestige Estates plans to launch 25 residential projects with 44.80 million sq ft of developable area and an estimated GDV of ₹42,120 crore this fiscal year, spanning Bengaluru, Chennai, Hyderabad, Mumbai, Delhi-NCR and Goa.</w:t>
      </w:r>
    </w:p>
    <w:p>
      <w:pPr>
        <w:pStyle w:val="ListParagraph"/>
        <w:numPr>
          <w:ilvl w:val="0"/>
          <w:numId w:val="2"/>
        </w:numPr>
        <w:spacing w:after="80"/>
      </w:pPr>
      <w:r>
        <w:rPr>
          <w:b w:val="false"/>
          <w:bCs w:val="false"/>
        </w:rPr>
        <w:t xml:space="preserve">CREDAI Hyderabad data shows 16,644 housing units sold in a recent quarter alongside 11,081 new launches, with the city's North West region accounting for 64% of total sales worth ₹19,826 crore.</w:t>
      </w:r>
    </w:p>
    <w:p>
      <w:pPr>
        <w:pStyle w:val="ListParagraph"/>
        <w:numPr>
          <w:ilvl w:val="0"/>
          <w:numId w:val="2"/>
        </w:numPr>
        <w:spacing w:after="80"/>
      </w:pPr>
      <w:r>
        <w:rPr>
          <w:b w:val="false"/>
          <w:bCs w:val="false"/>
        </w:rPr>
        <w:t xml:space="preserve">Hyderabad's South West region recorded the highest per-square-foot value in the city at ₹11,277, underscoring continued premiumisation in select micro-markets.</w:t>
      </w:r>
    </w:p>
    <w:p>
      <w:pPr>
        <w:spacing w:after="150"/>
      </w:pPr>
      <w:r>
        <w:rPr>
          <w:i/>
          <w:iCs/>
          <w:color w:val="595959"/>
          <w:sz w:val="18"/>
          <w:szCs w:val="18"/>
        </w:rPr>
        <w:t xml:space="preserve">Sources: Business Standard (Prestige Estates); RERA.news/CREDAI Hyderabad Report.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Brigade Enterprises' "Brigade Morgan Heights" in Chennai — a 14.7-acre, 1,250-unit project with a GDV of ~₹2,100 crore — continues to anchor the city's large-format residential-cum-commercial development pipeline.</w:t>
      </w:r>
    </w:p>
    <w:p>
      <w:pPr>
        <w:pStyle w:val="ListParagraph"/>
        <w:numPr>
          <w:ilvl w:val="0"/>
          <w:numId w:val="2"/>
        </w:numPr>
        <w:spacing w:after="80"/>
      </w:pPr>
      <w:r>
        <w:rPr>
          <w:b w:val="false"/>
          <w:bCs w:val="false"/>
        </w:rPr>
        <w:t xml:space="preserve">Prestige Estates' multi-city FY26 launch plan (₹42,120 crore GDV) includes significant allocations to Chennai and Hyderabad alongside Bengaluru, reinforcing continued developer capital commitment to South India.</w:t>
      </w:r>
    </w:p>
    <w:p>
      <w:pPr>
        <w:pStyle w:val="ListParagraph"/>
        <w:numPr>
          <w:ilvl w:val="0"/>
          <w:numId w:val="2"/>
        </w:numPr>
        <w:spacing w:after="80"/>
      </w:pPr>
      <w:r>
        <w:rPr>
          <w:b w:val="false"/>
          <w:bCs w:val="false"/>
        </w:rPr>
        <w:t xml:space="preserve">CREDAI Hyderabad's regional sales data — segmented by North West, South West and other zones — continues to offer granular visibility into the city's uneven but robust commercial and residential momentum.</w:t>
      </w:r>
    </w:p>
    <w:p>
      <w:pPr>
        <w:spacing w:after="150"/>
      </w:pPr>
      <w:r>
        <w:rPr>
          <w:i/>
          <w:iCs/>
          <w:color w:val="595959"/>
          <w:sz w:val="18"/>
          <w:szCs w:val="18"/>
        </w:rPr>
        <w:t xml:space="preserve">Sources: Business Standard; RERA.news/CREDAI Hyderabad Report.</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Property Show 2026 (28–30 August, HITEX, Halls 1 &amp; 3) will let homebuyers evaluate 100+ RERA-approved projects, speak directly with developers and get immediate financing clarity from top banks.</w:t>
      </w:r>
    </w:p>
    <w:p>
      <w:pPr>
        <w:pStyle w:val="ListParagraph"/>
        <w:numPr>
          <w:ilvl w:val="0"/>
          <w:numId w:val="2"/>
        </w:numPr>
        <w:spacing w:after="80"/>
      </w:pPr>
      <w:r>
        <w:rPr>
          <w:b w:val="false"/>
          <w:bCs w:val="false"/>
        </w:rPr>
        <w:t xml:space="preserve">CREDAI's pan-India RERA registration data shows 45% of the 19,050 registrations recorded in a recent year fell within the residential segment, underscoring the framework's centrality to South India's housing supply pipeline.</w:t>
      </w:r>
    </w:p>
    <w:p>
      <w:pPr>
        <w:pStyle w:val="ListParagraph"/>
        <w:numPr>
          <w:ilvl w:val="0"/>
          <w:numId w:val="2"/>
        </w:numPr>
        <w:spacing w:after="80"/>
      </w:pPr>
      <w:r>
        <w:rPr>
          <w:b w:val="false"/>
          <w:bCs w:val="false"/>
        </w:rPr>
        <w:t xml:space="preserve">CREDAI's national $10 trillion by 2047 real-estate market projection, released at CREDAI-NATCON, has direct implications for South India's continued urbanisation and housing-demand growth.</w:t>
      </w:r>
    </w:p>
    <w:p>
      <w:pPr>
        <w:spacing w:after="150"/>
      </w:pPr>
      <w:r>
        <w:rPr>
          <w:i/>
          <w:iCs/>
          <w:color w:val="595959"/>
          <w:sz w:val="18"/>
          <w:szCs w:val="18"/>
        </w:rPr>
        <w:t xml:space="preserve">Sources: Tripura Star News; CREDAI (credai.org)/RERA.news; RERA.news (Colliers-CREDAI report).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real estate market is projected to reach $10 trillion by 2047, contributing 14–20% of national GDP, according to a new Colliers-CREDAI report released at the 22nd CREDAI-NATCON event.</w:t>
      </w:r>
    </w:p>
    <w:p>
      <w:pPr>
        <w:pStyle w:val="ListParagraph"/>
        <w:numPr>
          <w:ilvl w:val="0"/>
          <w:numId w:val="2"/>
        </w:numPr>
        <w:spacing w:after="80"/>
      </w:pPr>
      <w:r>
        <w:rPr>
          <w:b w:val="false"/>
          <w:bCs w:val="false"/>
        </w:rPr>
        <w:t xml:space="preserve">CREDAI-Liases Foras data projects India's housing demand will reach 93 million homes by 2036, with 2023 alone recording over 19,050 RERA registrations pan-India, 45% of which were residential projects.</w:t>
      </w:r>
    </w:p>
    <w:p>
      <w:pPr>
        <w:pStyle w:val="ListParagraph"/>
        <w:numPr>
          <w:ilvl w:val="0"/>
          <w:numId w:val="2"/>
        </w:numPr>
        <w:spacing w:after="80"/>
      </w:pPr>
      <w:r>
        <w:rPr>
          <w:b w:val="false"/>
          <w:bCs w:val="false"/>
        </w:rPr>
        <w:t xml:space="preserve">Prestige Estates' FY26 multi-city launch plan (25 projects, 44.80 million sq ft, ₹42,120 crore GDV) illustrates continued large-scale developer confidence in India's residential growth story.</w:t>
      </w:r>
    </w:p>
    <w:p>
      <w:pPr>
        <w:spacing w:after="150"/>
      </w:pPr>
      <w:r>
        <w:rPr>
          <w:i/>
          <w:iCs/>
          <w:color w:val="595959"/>
          <w:sz w:val="18"/>
          <w:szCs w:val="18"/>
        </w:rPr>
        <w:t xml:space="preserve">Sources: RERA.news (Colliers-CREDAI report); CREDAI (credai.org); Business Standard (Prestige Estates).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Construction costs are projected to rise 3–5% across all asset classes nationally in 2026, per JLL's Construction Cost Guide, India — 2026, a factor likely to shape both commercial and residential development budgets.</w:t>
      </w:r>
    </w:p>
    <w:p>
      <w:pPr>
        <w:pStyle w:val="ListParagraph"/>
        <w:numPr>
          <w:ilvl w:val="0"/>
          <w:numId w:val="2"/>
        </w:numPr>
        <w:spacing w:after="80"/>
      </w:pPr>
      <w:r>
        <w:rPr>
          <w:b w:val="false"/>
          <w:bCs w:val="false"/>
        </w:rPr>
        <w:t xml:space="preserve">India's real estate sector is expected to contribute 14–20% of national GDP by 2047, per the new Colliers-CREDAI report, reflecting the scale of the sector's projected commercial, industrial and residential expansion.</w:t>
      </w:r>
    </w:p>
    <w:p>
      <w:pPr>
        <w:pStyle w:val="ListParagraph"/>
        <w:numPr>
          <w:ilvl w:val="0"/>
          <w:numId w:val="2"/>
        </w:numPr>
        <w:spacing w:after="80"/>
      </w:pPr>
      <w:r>
        <w:rPr>
          <w:b w:val="false"/>
          <w:bCs w:val="false"/>
        </w:rPr>
        <w:t xml:space="preserve">Coastal and Tier-2 markets continue to draw commercial and office-sector interest as occupiers diversify beyond India's traditional metro hubs, a trend visible from Bengaluru's coastal Karnataka expansion to other regional markets.</w:t>
      </w:r>
    </w:p>
    <w:p>
      <w:pPr>
        <w:spacing w:after="150"/>
      </w:pPr>
      <w:r>
        <w:rPr>
          <w:i/>
          <w:iCs/>
          <w:color w:val="595959"/>
          <w:sz w:val="18"/>
          <w:szCs w:val="18"/>
        </w:rPr>
        <w:t xml:space="preserve">Sources: JLL Construction Cost Guide India 2026; RERA.news (Colliers-CREDAI report); NoBroker Times.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Colliers-CREDAI report "Indian Real Estate: The Quantum Leap", released at the 22nd CREDAI-NATCON event, projects India's real estate market reaching $10 trillion by 2047 and contributing 14–20% of GDP.</w:t>
      </w:r>
    </w:p>
    <w:p>
      <w:pPr>
        <w:pStyle w:val="ListParagraph"/>
        <w:numPr>
          <w:ilvl w:val="0"/>
          <w:numId w:val="2"/>
        </w:numPr>
        <w:spacing w:after="80"/>
      </w:pPr>
      <w:r>
        <w:rPr>
          <w:b w:val="false"/>
          <w:bCs w:val="false"/>
        </w:rPr>
        <w:t xml:space="preserve">CREDAI-Liases Foras's housing-demand projection (93 million homes by 2036) and pan-India RERA registration data (19,050 registrations, 45% residential) together underscore both the scale of future housing need and RERA's expanding regulatory footprint.</w:t>
      </w:r>
    </w:p>
    <w:p>
      <w:pPr>
        <w:pStyle w:val="ListParagraph"/>
        <w:numPr>
          <w:ilvl w:val="0"/>
          <w:numId w:val="2"/>
        </w:numPr>
        <w:spacing w:after="80"/>
      </w:pPr>
      <w:r>
        <w:rPr>
          <w:b w:val="false"/>
          <w:bCs w:val="false"/>
        </w:rPr>
        <w:t xml:space="preserve">CREDAI's own "RERA 2.0" framework report continues to position the regulator as central to unlocking the sector's next growth phase through 2047.</w:t>
      </w:r>
    </w:p>
    <w:p>
      <w:pPr>
        <w:spacing w:after="150"/>
      </w:pPr>
      <w:r>
        <w:rPr>
          <w:i/>
          <w:iCs/>
          <w:color w:val="595959"/>
          <w:sz w:val="18"/>
          <w:szCs w:val="18"/>
        </w:rPr>
        <w:t xml:space="preserve">Sources: Colliers/CREDAI (credai.org); RERA.news; CREDAI "RERA 2.0" report.</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2026-08-04T03:41:03.502Z</dcterms:created>
  <dcterms:modified xsi:type="dcterms:W3CDTF">2026-08-04T03:41:03.518Z</dcterms:modified>
</cp:coreProperties>
</file>

<file path=docProps/custom.xml><?xml version="1.0" encoding="utf-8"?>
<Properties xmlns="http://schemas.openxmlformats.org/officeDocument/2006/custom-properties" xmlns:vt="http://schemas.openxmlformats.org/officeDocument/2006/docPropsVTypes"/>
</file>