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7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residential supply hit an all-time quarterly record of 27,000 units in Q1 2026, with Q2 2026 adding a further 12,544 launches; home prices and rents rose 3.2% and 2.7% QoQ respectively.</w:t>
      </w:r>
    </w:p>
    <w:p>
      <w:pPr>
        <w:pStyle w:val="ListParagraph"/>
        <w:numPr>
          <w:ilvl w:val="0"/>
          <w:numId w:val="2"/>
        </w:numPr>
        <w:spacing w:after="80"/>
      </w:pPr>
      <w:r>
        <w:rPr>
          <w:b w:val="false"/>
          <w:bCs w:val="false"/>
        </w:rPr>
        <w:t xml:space="preserve">Aditya Birla Real Estate has entered a joint venture with Mitsubishi Estate Co. to develop a residential housing project in Southeast Bengaluru, with an investment of ₹560 crore.</w:t>
      </w:r>
    </w:p>
    <w:p>
      <w:pPr>
        <w:pStyle w:val="ListParagraph"/>
        <w:numPr>
          <w:ilvl w:val="0"/>
          <w:numId w:val="2"/>
        </w:numPr>
        <w:spacing w:after="80"/>
      </w:pPr>
      <w:r>
        <w:rPr>
          <w:b w:val="false"/>
          <w:bCs w:val="false"/>
        </w:rPr>
        <w:t xml:space="preserve">Key localities including Whitefield, Sarjapur Road, Devanahalli and Yelahanka are expected to see strong property appreciation through 2030, as demand continues to concentrate in IT-centric and developing corridors.</w:t>
      </w:r>
    </w:p>
    <w:p>
      <w:pPr>
        <w:spacing w:after="150"/>
      </w:pPr>
      <w:r>
        <w:rPr>
          <w:i/>
          <w:iCs/>
          <w:color w:val="595959"/>
          <w:sz w:val="18"/>
          <w:szCs w:val="18"/>
        </w:rPr>
        <w:t xml:space="preserve">Sources: JLL Bengaluru Mass Residential Market Dynamics Q1 2026; Business Standard (Aditya Birla-Mitsubishi); Brigade Group.</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Karnataka government has unveiled a ₹40,000 crore underground tunnel-road project — a proposed 40 km network intended to ease Bengaluru's chronic traffic congestion and unlock new commercial and residential value along its corridors.</w:t>
      </w:r>
    </w:p>
    <w:p>
      <w:pPr>
        <w:pStyle w:val="ListParagraph"/>
        <w:numPr>
          <w:ilvl w:val="0"/>
          <w:numId w:val="2"/>
        </w:numPr>
        <w:spacing w:after="80"/>
      </w:pPr>
      <w:r>
        <w:rPr>
          <w:b w:val="false"/>
          <w:bCs w:val="false"/>
        </w:rPr>
        <w:t xml:space="preserve">Improved connectivity via Namma Metro expansion, the Peripheral Ring Road and the Satellite Town Ring Road continues to drive residential and commercial activity across South, East and North Bengaluru.</w:t>
      </w:r>
    </w:p>
    <w:p>
      <w:pPr>
        <w:pStyle w:val="ListParagraph"/>
        <w:numPr>
          <w:ilvl w:val="0"/>
          <w:numId w:val="2"/>
        </w:numPr>
        <w:spacing w:after="80"/>
      </w:pPr>
      <w:r>
        <w:rPr>
          <w:b w:val="false"/>
          <w:bCs w:val="false"/>
        </w:rPr>
        <w:t xml:space="preserve">Demand for residential and commercial properties remains strongest in IT-centric corridors, reinforcing the tight link between Bengaluru's employment growth and its real estate momentum.</w:t>
      </w:r>
    </w:p>
    <w:p>
      <w:pPr>
        <w:spacing w:after="150"/>
      </w:pPr>
      <w:r>
        <w:rPr>
          <w:i/>
          <w:iCs/>
          <w:color w:val="595959"/>
          <w:sz w:val="18"/>
          <w:szCs w:val="18"/>
        </w:rPr>
        <w:t xml:space="preserve">Sources: NoBroker Times (Karnataka tunnel road); PropNewsTime.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Deputy Chief Minister DK Shivakumar and Minister MB Patil are set to chair a key meeting this week to resolve land-acquisition delays for Bengaluru Metro Phase 3 and the Multi-Modal Transport Hub at Hebbal.</w:t>
      </w:r>
    </w:p>
    <w:p>
      <w:pPr>
        <w:pStyle w:val="ListParagraph"/>
        <w:numPr>
          <w:ilvl w:val="0"/>
          <w:numId w:val="2"/>
        </w:numPr>
        <w:spacing w:after="80"/>
      </w:pPr>
      <w:r>
        <w:rPr>
          <w:b w:val="false"/>
          <w:bCs w:val="false"/>
        </w:rPr>
        <w:t xml:space="preserve">Chief Secretary Shalini Rajneesh is expected to review Namma Metro's Hebbal depot land proposal amid mounting pressure from the real estate lobby to reduce the metro's land requirement from 45 acres to just 9 acres — a dispute unresolved since talks began in October 2023.</w:t>
      </w:r>
    </w:p>
    <w:p>
      <w:pPr>
        <w:pStyle w:val="ListParagraph"/>
        <w:numPr>
          <w:ilvl w:val="0"/>
          <w:numId w:val="2"/>
        </w:numPr>
        <w:spacing w:after="80"/>
      </w:pPr>
      <w:r>
        <w:rPr>
          <w:b w:val="false"/>
          <w:bCs w:val="false"/>
        </w:rPr>
        <w:t xml:space="preserve">CREDAI Karnataka continues to be a visible voice in these infrastructure-versus-development land-use debates, alongside its ongoing e-Khata and registration-process advocacy with the state government.</w:t>
      </w:r>
    </w:p>
    <w:p>
      <w:pPr>
        <w:spacing w:after="150"/>
      </w:pPr>
      <w:r>
        <w:rPr>
          <w:i/>
          <w:iCs/>
          <w:color w:val="595959"/>
          <w:sz w:val="18"/>
          <w:szCs w:val="18"/>
        </w:rPr>
        <w:t xml:space="preserve">Sources: PropNewsTime; Deccan Herald.</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Housing prices across India's seven major cities sustained their upward momentum in Q1 2026, rising 8–20% YoY; Bengaluru, Chennai, Delhi-NCR and Kolkata topped growth at over 12% each, while Hyderabad recorded a comparatively moderate 8% appreciation.</w:t>
      </w:r>
    </w:p>
    <w:p>
      <w:pPr>
        <w:pStyle w:val="ListParagraph"/>
        <w:numPr>
          <w:ilvl w:val="0"/>
          <w:numId w:val="2"/>
        </w:numPr>
        <w:spacing w:after="80"/>
      </w:pPr>
      <w:r>
        <w:rPr>
          <w:b w:val="false"/>
          <w:bCs w:val="false"/>
        </w:rPr>
        <w:t xml:space="preserve">Experts project Hyderabad prices will rise a further 10–15% in 2026, supported by continued infrastructure investment and IT-sector demand.</w:t>
      </w:r>
    </w:p>
    <w:p>
      <w:pPr>
        <w:pStyle w:val="ListParagraph"/>
        <w:numPr>
          <w:ilvl w:val="0"/>
          <w:numId w:val="2"/>
        </w:numPr>
        <w:spacing w:after="80"/>
      </w:pPr>
      <w:r>
        <w:rPr>
          <w:b w:val="false"/>
          <w:bCs w:val="false"/>
        </w:rPr>
        <w:t xml:space="preserve">Premium housing (₹1 crore+) saw a 30% YoY increase nationally in Q1 2026, with the ₹1.5–3 crore segment surging 67% YoY — a trend visible across South India's Chennai and Hyderabad markets as well as Bengaluru.</w:t>
      </w:r>
    </w:p>
    <w:p>
      <w:pPr>
        <w:spacing w:after="150"/>
      </w:pPr>
      <w:r>
        <w:rPr>
          <w:i/>
          <w:iCs/>
          <w:color w:val="595959"/>
          <w:sz w:val="18"/>
          <w:szCs w:val="18"/>
        </w:rPr>
        <w:t xml:space="preserve">Sources: JLL Residential Dynamics Report Q1 2026; Prestige Golden Grove (Hyderabad update).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Central Government has given a basic "yes" to Hyderabad Metro Phase 2, which will connect the airport and the Old City — a significant infrastructure development expected to open new residential and commercial growth corridors.</w:t>
      </w:r>
    </w:p>
    <w:p>
      <w:pPr>
        <w:pStyle w:val="ListParagraph"/>
        <w:numPr>
          <w:ilvl w:val="0"/>
          <w:numId w:val="2"/>
        </w:numPr>
        <w:spacing w:after="80"/>
      </w:pPr>
      <w:r>
        <w:rPr>
          <w:b w:val="false"/>
          <w:bCs w:val="false"/>
        </w:rPr>
        <w:t xml:space="preserve">The Centre has also taken up development of the southern stretch of Hyderabad's Regional Ring Road, further boosting connectivity and unlocking real estate expansion around the city's periphery.</w:t>
      </w:r>
    </w:p>
    <w:p>
      <w:pPr>
        <w:pStyle w:val="ListParagraph"/>
        <w:numPr>
          <w:ilvl w:val="0"/>
          <w:numId w:val="2"/>
        </w:numPr>
        <w:spacing w:after="80"/>
      </w:pPr>
      <w:r>
        <w:rPr>
          <w:b w:val="false"/>
          <w:bCs w:val="false"/>
        </w:rPr>
        <w:t xml:space="preserve">New residential launches rose 13% YoY nationally in Q1 2026, driving an 8% increase in sales — a trend with strong contributions from South India's Chennai and Hyderabad markets.</w:t>
      </w:r>
    </w:p>
    <w:p>
      <w:pPr>
        <w:spacing w:after="150"/>
      </w:pPr>
      <w:r>
        <w:rPr>
          <w:i/>
          <w:iCs/>
          <w:color w:val="595959"/>
          <w:sz w:val="18"/>
          <w:szCs w:val="18"/>
        </w:rPr>
        <w:t xml:space="preserve">Sources: Prestige Golden Grove; JLL Residential Dynamics Report Q1 2026.</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and NAREDCO have both formally welcomed the Centre's four-month RERA project-extension advisory, which invokes Force Majeure provisions for projects with completion deadlines on or after 28 February 2026 — directly relevant to Telangana and Tamil Nadu developers.</w:t>
      </w:r>
    </w:p>
    <w:p>
      <w:pPr>
        <w:pStyle w:val="ListParagraph"/>
        <w:numPr>
          <w:ilvl w:val="0"/>
          <w:numId w:val="2"/>
        </w:numPr>
        <w:spacing w:after="80"/>
      </w:pPr>
      <w:r>
        <w:rPr>
          <w:b w:val="false"/>
          <w:bCs w:val="false"/>
        </w:rPr>
        <w:t xml:space="preserve">CREDAI's Liases Foras collaboration projecting 93 million homes of national housing demand by 2036 continues to underscore the scale of future opportunity across South India's Tier-2/3 markets.</w:t>
      </w:r>
    </w:p>
    <w:p>
      <w:pPr>
        <w:pStyle w:val="ListParagraph"/>
        <w:numPr>
          <w:ilvl w:val="0"/>
          <w:numId w:val="2"/>
        </w:numPr>
        <w:spacing w:after="80"/>
      </w:pPr>
      <w:r>
        <w:rPr>
          <w:b w:val="false"/>
          <w:bCs w:val="false"/>
        </w:rPr>
        <w:t xml:space="preserve">MahaRERA's status as India's largest state RERA (50,000+ registered projects, ~35% of the national total) offers a governance benchmark South Indian state RERAs continue to be measured against.</w:t>
      </w:r>
    </w:p>
    <w:p>
      <w:pPr>
        <w:spacing w:after="150"/>
      </w:pPr>
      <w:r>
        <w:rPr>
          <w:i/>
          <w:iCs/>
          <w:color w:val="595959"/>
          <w:sz w:val="18"/>
          <w:szCs w:val="18"/>
        </w:rPr>
        <w:t xml:space="preserve">Sources: PropNewsTime; CREDAI (credai.org); RERA.news.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New residential launches rose 13% YoY nationally in Q1 2026, driving an 8% increase in sales despite supply growth outpacing sales growth — signalling healthy but moderating buyer appetite.</w:t>
      </w:r>
    </w:p>
    <w:p>
      <w:pPr>
        <w:pStyle w:val="ListParagraph"/>
        <w:numPr>
          <w:ilvl w:val="0"/>
          <w:numId w:val="2"/>
        </w:numPr>
        <w:spacing w:after="80"/>
      </w:pPr>
      <w:r>
        <w:rPr>
          <w:b w:val="false"/>
          <w:bCs w:val="false"/>
        </w:rPr>
        <w:t xml:space="preserve">Premium housing (above ₹1 crore) saw a 30% YoY increase nationally in Q1 2026, with the ₹1.5–3 crore segment growing a sharp 67% YoY, reinforcing the broader national premiumisation trend.</w:t>
      </w:r>
    </w:p>
    <w:p>
      <w:pPr>
        <w:pStyle w:val="ListParagraph"/>
        <w:numPr>
          <w:ilvl w:val="0"/>
          <w:numId w:val="2"/>
        </w:numPr>
        <w:spacing w:after="80"/>
      </w:pPr>
      <w:r>
        <w:rPr>
          <w:b w:val="false"/>
          <w:bCs w:val="false"/>
        </w:rPr>
        <w:t xml:space="preserve">Housing prices across India's seven major cities rose 8–20% YoY in Q1 2026, with Bengaluru, Chennai, Delhi-NCR and Kolkata leading at over 12% growth each.</w:t>
      </w:r>
    </w:p>
    <w:p>
      <w:pPr>
        <w:spacing w:after="150"/>
      </w:pPr>
      <w:r>
        <w:rPr>
          <w:i/>
          <w:iCs/>
          <w:color w:val="595959"/>
          <w:sz w:val="18"/>
          <w:szCs w:val="18"/>
        </w:rPr>
        <w:t xml:space="preserve">Sources: JLL Residential Dynamics Report Q1 2026.</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Large infrastructure investments — Karnataka's ₹40,000 crore Bengaluru tunnel-road project, Hyderabad Metro Phase 2's Central Government approval, and the Regional Ring Road's southern stretch — continue to reshape commercial and residential growth corridors across India's leading real estate markets.</w:t>
      </w:r>
    </w:p>
    <w:p>
      <w:pPr>
        <w:pStyle w:val="ListParagraph"/>
        <w:numPr>
          <w:ilvl w:val="0"/>
          <w:numId w:val="2"/>
        </w:numPr>
        <w:spacing w:after="80"/>
      </w:pPr>
      <w:r>
        <w:rPr>
          <w:b w:val="false"/>
          <w:bCs w:val="false"/>
        </w:rPr>
        <w:t xml:space="preserve">National new-launch growth (13% YoY in Q1 2026) continues to be concentrated in top metros, with infrastructure-led connectivity remaining a key driver of both commercial and residential absorption.</w:t>
      </w:r>
    </w:p>
    <w:p>
      <w:pPr>
        <w:pStyle w:val="ListParagraph"/>
        <w:numPr>
          <w:ilvl w:val="0"/>
          <w:numId w:val="2"/>
        </w:numPr>
        <w:spacing w:after="80"/>
      </w:pPr>
      <w:r>
        <w:rPr>
          <w:b w:val="false"/>
          <w:bCs w:val="false"/>
        </w:rPr>
        <w:t xml:space="preserve">MahaRERA's scale (50,000+ registered projects) illustrates the depth of India's institutionalised real estate market, with RERA compliance increasingly central to both commercial and residential project execution nationally.</w:t>
      </w:r>
    </w:p>
    <w:p>
      <w:pPr>
        <w:spacing w:after="150"/>
      </w:pPr>
      <w:r>
        <w:rPr>
          <w:i/>
          <w:iCs/>
          <w:color w:val="595959"/>
          <w:sz w:val="18"/>
          <w:szCs w:val="18"/>
        </w:rPr>
        <w:t xml:space="preserve">Sources: NoBroker Times; Prestige Golden Grove; Business Standard (MahaRERA).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MahaRERA has registered over 50,000 housing projects — the highest of any state RERA in India, accounting for roughly 35% of the country's total RERA-registered projects.</w:t>
      </w:r>
    </w:p>
    <w:p>
      <w:pPr>
        <w:pStyle w:val="ListParagraph"/>
        <w:numPr>
          <w:ilvl w:val="0"/>
          <w:numId w:val="2"/>
        </w:numPr>
        <w:spacing w:after="80"/>
      </w:pPr>
      <w:r>
        <w:rPr>
          <w:b w:val="false"/>
          <w:bCs w:val="false"/>
        </w:rPr>
        <w:t xml:space="preserve">CREDAI and NAREDCO have both welcomed the Centre's four-month RERA project-extension advisory, which invokes Force Majeure provisions for projects with completion deadlines on or after 28 February 2026.</w:t>
      </w:r>
    </w:p>
    <w:p>
      <w:pPr>
        <w:pStyle w:val="ListParagraph"/>
        <w:numPr>
          <w:ilvl w:val="0"/>
          <w:numId w:val="2"/>
        </w:numPr>
        <w:spacing w:after="80"/>
      </w:pPr>
      <w:r>
        <w:rPr>
          <w:b w:val="false"/>
          <w:bCs w:val="false"/>
        </w:rPr>
        <w:t xml:space="preserve">CREDAI's collaboration with Liases Foras continues to frame India's long-term housing opportunity, projecting demand for 93 million homes by 2036 as a structural tailwind for the sector's next growth phase.</w:t>
      </w:r>
    </w:p>
    <w:p>
      <w:pPr>
        <w:spacing w:after="150"/>
      </w:pPr>
      <w:r>
        <w:rPr>
          <w:i/>
          <w:iCs/>
          <w:color w:val="595959"/>
          <w:sz w:val="18"/>
          <w:szCs w:val="18"/>
        </w:rPr>
        <w:t xml:space="preserve">Sources: Business Standard (MahaRERA); PropNewsTime; CREDAI (credai.org).</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2026-08-07T03:42:39.483Z</dcterms:created>
  <dcterms:modified xsi:type="dcterms:W3CDTF">2026-08-07T03:42:39.508Z</dcterms:modified>
</cp:coreProperties>
</file>

<file path=docProps/custom.xml><?xml version="1.0" encoding="utf-8"?>
<Properties xmlns="http://schemas.openxmlformats.org/officeDocument/2006/custom-properties" xmlns:vt="http://schemas.openxmlformats.org/officeDocument/2006/docPropsVTypes"/>
</file>