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Wednesday, 26 August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Bengaluru's office market strength continues to indirectly support residential demand, with Q2 2026 gross office leasing of 5.6 million sq ft (GCCs accounting for 52% of the quarter) reinforcing the city's employment-led housing story.</w:t>
      </w:r>
    </w:p>
    <w:p>
      <w:pPr>
        <w:pStyle w:val="ListParagraph"/>
        <w:numPr>
          <w:ilvl w:val="0"/>
          <w:numId w:val="2"/>
        </w:numPr>
        <w:spacing w:after="80"/>
      </w:pPr>
      <w:r>
        <w:rPr>
          <w:b w:val="false"/>
          <w:bCs w:val="false"/>
        </w:rPr>
        <w:t xml:space="preserve">Bengaluru's office momentum is broadening beyond the Outer Ring Road, with PBD East and PBD North together capturing 25% of citywide leasing transactions as GCCs pre-lease Grade-A space along upcoming metro and airport corridors — a trend expected to spill over into residential demand in these emerging zones.</w:t>
      </w:r>
    </w:p>
    <w:p>
      <w:pPr>
        <w:pStyle w:val="ListParagraph"/>
        <w:numPr>
          <w:ilvl w:val="0"/>
          <w:numId w:val="2"/>
        </w:numPr>
        <w:spacing w:after="80"/>
      </w:pPr>
      <w:r>
        <w:rPr>
          <w:b w:val="false"/>
          <w:bCs w:val="false"/>
        </w:rPr>
        <w:t xml:space="preserve">H2 2026 gross office absorption is projected at ~11 million sq ft, taking full-year 2026 leasing to approximately 24 million sq ft, underscoring sustained occupier confidence that continues to anchor Bengaluru's residential catchment areas.</w:t>
      </w:r>
    </w:p>
    <w:p>
      <w:pPr>
        <w:spacing w:after="150"/>
      </w:pPr>
      <w:r>
        <w:rPr>
          <w:i/>
          <w:iCs/>
          <w:color w:val="595959"/>
          <w:sz w:val="18"/>
          <w:szCs w:val="18"/>
        </w:rPr>
        <w:t xml:space="preserve">Sources: Meraqi Advisors (Q2 2026 office leasing, GCC share, PBD East/North, FY26 outlook); CBRE India (Bengaluru/Pune/Delhi-NCR H1 leasing share).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Pune and Delhi-NCR together drove roughly 58% of India's Q2 2026 office leasing, with Bengaluru's large-format leasing advantage continuing to anchor its position as the country's top office market.</w:t>
      </w:r>
    </w:p>
    <w:p>
      <w:pPr>
        <w:pStyle w:val="ListParagraph"/>
        <w:numPr>
          <w:ilvl w:val="0"/>
          <w:numId w:val="2"/>
        </w:numPr>
        <w:spacing w:after="80"/>
      </w:pPr>
      <w:r>
        <w:rPr>
          <w:b w:val="false"/>
          <w:bCs w:val="false"/>
        </w:rPr>
        <w:t xml:space="preserve">GCCs accounted for 52% of Bengaluru's Q2 2026 gross leasing volume (5.6 million sq ft), reaffirming their role as the single largest structural driver of the city's commercial real estate demand.</w:t>
      </w:r>
    </w:p>
    <w:p>
      <w:pPr>
        <w:pStyle w:val="ListParagraph"/>
        <w:numPr>
          <w:ilvl w:val="0"/>
          <w:numId w:val="2"/>
        </w:numPr>
        <w:spacing w:after="80"/>
      </w:pPr>
      <w:r>
        <w:rPr>
          <w:b w:val="false"/>
          <w:bCs w:val="false"/>
        </w:rPr>
        <w:t xml:space="preserve">PBD East and PBD North's rising 25% share of citywide transactions signals a structural broadening of Bengaluru's commercial growth map beyond its traditional ORR stronghold.</w:t>
      </w:r>
    </w:p>
    <w:p>
      <w:pPr>
        <w:spacing w:after="150"/>
      </w:pPr>
      <w:r>
        <w:rPr>
          <w:i/>
          <w:iCs/>
          <w:color w:val="595959"/>
          <w:sz w:val="18"/>
          <w:szCs w:val="18"/>
        </w:rPr>
        <w:t xml:space="preserve">Sources: CBRE India; Meraqi Advisors (Bengaluru Office Market Q2 2026).</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Karnataka continues to track Bengaluru's broadening office-leasing map — particularly the rise of PBD East and PBD North — as a signal for where future residential and mixed-use project registrations may concentrate.</w:t>
      </w:r>
    </w:p>
    <w:p>
      <w:pPr>
        <w:pStyle w:val="ListParagraph"/>
        <w:numPr>
          <w:ilvl w:val="0"/>
          <w:numId w:val="2"/>
        </w:numPr>
        <w:spacing w:after="80"/>
      </w:pPr>
      <w:r>
        <w:rPr>
          <w:b w:val="false"/>
          <w:bCs w:val="false"/>
        </w:rPr>
        <w:t xml:space="preserve">K-RERA continues to operate with a partially reconstituted bench following N Jayaram's appointment as Member, even as the chairman post remains vacant since H.C. Kishore Chandra's retirement.</w:t>
      </w:r>
    </w:p>
    <w:p>
      <w:pPr>
        <w:pStyle w:val="ListParagraph"/>
        <w:numPr>
          <w:ilvl w:val="0"/>
          <w:numId w:val="2"/>
        </w:numPr>
        <w:spacing w:after="80"/>
      </w:pPr>
      <w:r>
        <w:rPr>
          <w:b w:val="false"/>
          <w:bCs w:val="false"/>
        </w:rPr>
        <w:t xml:space="preserve">CREDAI Karnataka's ongoing premium-FAR advocacy remains relevant as Bengaluru's office market approaches a projected ~24 million sq ft of full-year 2026 leasing, intensifying pressure on the city's built-up commercial and residential capacity.</w:t>
      </w:r>
    </w:p>
    <w:p>
      <w:pPr>
        <w:spacing w:after="150"/>
      </w:pPr>
      <w:r>
        <w:rPr>
          <w:i/>
          <w:iCs/>
          <w:color w:val="595959"/>
          <w:sz w:val="18"/>
          <w:szCs w:val="18"/>
        </w:rPr>
        <w:t xml:space="preserve">Sources: Meraqi Advisors; Deccan Herald (K-RERA bench composition).</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Chennai's apartment sales rose 27% YoY to 8,587 units in H1 2026, with average housing prices up 13% over the same period — the city's second-highest sales growth among India's seven major housing markets, per JLL.</w:t>
      </w:r>
    </w:p>
    <w:p>
      <w:pPr>
        <w:pStyle w:val="ListParagraph"/>
        <w:numPr>
          <w:ilvl w:val="0"/>
          <w:numId w:val="2"/>
        </w:numPr>
        <w:spacing w:after="80"/>
      </w:pPr>
      <w:r>
        <w:rPr>
          <w:b w:val="false"/>
          <w:bCs w:val="false"/>
        </w:rPr>
        <w:t xml:space="preserve">Hyderabad sold 13,196 homes in the April-June 2026 quarter, up 15% YoY, even as HYDRAA's resumed demolition drive and Section 22A restrictions continue to curtail daily registrations across the city and neighbouring districts.</w:t>
      </w:r>
    </w:p>
    <w:p>
      <w:pPr>
        <w:pStyle w:val="ListParagraph"/>
        <w:numPr>
          <w:ilvl w:val="0"/>
          <w:numId w:val="2"/>
        </w:numPr>
        <w:spacing w:after="80"/>
      </w:pPr>
      <w:r>
        <w:rPr>
          <w:b w:val="false"/>
          <w:bCs w:val="false"/>
        </w:rPr>
        <w:t xml:space="preserve">CREDAI Hyderabad's Property Show 2026 (28–30 August, HITEX) will bring together 65 leading developers under the theme "Rates Won't Stop, Demand Won't Drop," featuring 100+ RERA-approved residential and commercial projects.</w:t>
      </w:r>
    </w:p>
    <w:p>
      <w:pPr>
        <w:spacing w:after="150"/>
      </w:pPr>
      <w:r>
        <w:rPr>
          <w:i/>
          <w:iCs/>
          <w:color w:val="595959"/>
          <w:sz w:val="18"/>
          <w:szCs w:val="18"/>
        </w:rPr>
        <w:t xml:space="preserve">Sources: NoBroker/JLL (Chennai H1 2026 sales); Gulte/PropTiger (Hyderabad Q2 2026 sales); Telangana Today/Telugu Times (CREDAI Hyderabad Property Show details).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HMDA continues to prepare a 42-acre land auction across Moosapet, Banjara Hills and Kondapur, expected to generate over ₹5,000 crore in revenue, alongside the city's recent record ₹264 crore per acre Raidurg auction.</w:t>
      </w:r>
    </w:p>
    <w:p>
      <w:pPr>
        <w:pStyle w:val="ListParagraph"/>
        <w:numPr>
          <w:ilvl w:val="0"/>
          <w:numId w:val="2"/>
        </w:numPr>
        <w:spacing w:after="80"/>
      </w:pPr>
      <w:r>
        <w:rPr>
          <w:b w:val="false"/>
          <w:bCs w:val="false"/>
        </w:rPr>
        <w:t xml:space="preserve">CREDAI Hyderabad's Property Show 2026 will showcase a wide spectrum of residential and commercial offerings — apartments, villas, plotted developments and office spaces — across Hyderabad, reflecting continued developer confidence despite the ongoing HYDRAA-Section 22A disruption.</w:t>
      </w:r>
    </w:p>
    <w:p>
      <w:pPr>
        <w:pStyle w:val="ListParagraph"/>
        <w:numPr>
          <w:ilvl w:val="0"/>
          <w:numId w:val="2"/>
        </w:numPr>
        <w:spacing w:after="80"/>
      </w:pPr>
      <w:r>
        <w:rPr>
          <w:b w:val="false"/>
          <w:bCs w:val="false"/>
        </w:rPr>
        <w:t xml:space="preserve">Chennai's continued sales momentum (+27% YoY H1 2026) supports ongoing commercial and retail spillover demand in the city's fastest-growing corridors.</w:t>
      </w:r>
    </w:p>
    <w:p>
      <w:pPr>
        <w:spacing w:after="150"/>
      </w:pPr>
      <w:r>
        <w:rPr>
          <w:i/>
          <w:iCs/>
          <w:color w:val="595959"/>
          <w:sz w:val="18"/>
          <w:szCs w:val="18"/>
        </w:rPr>
        <w:t xml:space="preserve">Sources: Charan Group Updates (HMDA land auction); Telangana Today/Telugu Times (CREDAI Hyderabad Property Show); NoBroker/JLL.</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Hyderabad's Property Show 2026, opening in two days at HITEX under the theme "Rates Won't Stop, Demand Won't Drop," is being positioned as a direct response to buyer hesitancy amid the city's HYDRAA-Section 22A disruption.</w:t>
      </w:r>
    </w:p>
    <w:p>
      <w:pPr>
        <w:pStyle w:val="ListParagraph"/>
        <w:numPr>
          <w:ilvl w:val="0"/>
          <w:numId w:val="2"/>
        </w:numPr>
        <w:spacing w:after="80"/>
      </w:pPr>
      <w:r>
        <w:rPr>
          <w:b w:val="false"/>
          <w:bCs w:val="false"/>
        </w:rPr>
        <w:t xml:space="preserve">CREDAI continues to implement the Centre's four-month RERA project-extension advisory for projects with completion deadlines on or after 28 February 2026, with Tamil Nadu and Telangana developers among the direct beneficiaries.</w:t>
      </w:r>
    </w:p>
    <w:p>
      <w:pPr>
        <w:pStyle w:val="ListParagraph"/>
        <w:numPr>
          <w:ilvl w:val="0"/>
          <w:numId w:val="2"/>
        </w:numPr>
        <w:spacing w:after="80"/>
      </w:pPr>
      <w:r>
        <w:rPr>
          <w:b w:val="false"/>
          <w:bCs w:val="false"/>
        </w:rPr>
        <w:t xml:space="preserve">South Indian CREDAI chapters continue to track Karnataka's K-RERA reconstitution and the state's pending guidance-value notification as parallel regulatory developments shaping compliance costs across the region.</w:t>
      </w:r>
    </w:p>
    <w:p>
      <w:pPr>
        <w:spacing w:after="150"/>
      </w:pPr>
      <w:r>
        <w:rPr>
          <w:i/>
          <w:iCs/>
          <w:color w:val="595959"/>
          <w:sz w:val="18"/>
          <w:szCs w:val="18"/>
        </w:rPr>
        <w:t xml:space="preserve">Sources: Telangana Today/Telugu Times; Business Standard (MoHUA advisory); Deccan Herald.</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Affordable housing accounted for just 6% of new residential launches nationally in Q2 2026, down sharply from nearly 52% in 2018, marking a dramatic structural contraction in the segment.</w:t>
      </w:r>
    </w:p>
    <w:p>
      <w:pPr>
        <w:pStyle w:val="ListParagraph"/>
        <w:numPr>
          <w:ilvl w:val="0"/>
          <w:numId w:val="2"/>
        </w:numPr>
        <w:spacing w:after="80"/>
      </w:pPr>
      <w:r>
        <w:rPr>
          <w:b w:val="false"/>
          <w:bCs w:val="false"/>
        </w:rPr>
        <w:t xml:space="preserve">Sales of homes priced above ₹1 crore rose 30% YoY in Q1 2026, while sales of homes below ₹1 crore contracted 24% over the same period, underscoring the market's continued shift toward premiumisation.</w:t>
      </w:r>
    </w:p>
    <w:p>
      <w:pPr>
        <w:pStyle w:val="ListParagraph"/>
        <w:numPr>
          <w:ilvl w:val="0"/>
          <w:numId w:val="2"/>
        </w:numPr>
        <w:spacing w:after="80"/>
      </w:pPr>
      <w:r>
        <w:rPr>
          <w:b w:val="false"/>
          <w:bCs w:val="false"/>
        </w:rPr>
        <w:t xml:space="preserve">India's top eight housing markets sold 91,729 units in Q2 2026, down 4.4% sequentially and 6.1% YoY, even as six of the eight major markets remained within affordability thresholds in H1 2026.</w:t>
      </w:r>
    </w:p>
    <w:p>
      <w:pPr>
        <w:spacing w:after="150"/>
      </w:pPr>
      <w:r>
        <w:rPr>
          <w:i/>
          <w:iCs/>
          <w:color w:val="595959"/>
          <w:sz w:val="18"/>
          <w:szCs w:val="18"/>
        </w:rPr>
        <w:t xml:space="preserve">Sources: The Week/CounterView (affordable housing contraction, premiumisation data); RealNewsOfIndia (Q2 2026 top-8-city sales, affordability).</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Pune and Delhi-NCR together drove approximately 58% of India's Q2 2026 office leasing, reinforcing the continued concentration of national commercial real estate demand in a handful of GCC-anchored metros.</w:t>
      </w:r>
    </w:p>
    <w:p>
      <w:pPr>
        <w:pStyle w:val="ListParagraph"/>
        <w:numPr>
          <w:ilvl w:val="0"/>
          <w:numId w:val="2"/>
        </w:numPr>
        <w:spacing w:after="80"/>
      </w:pPr>
      <w:r>
        <w:rPr>
          <w:b w:val="false"/>
          <w:bCs w:val="false"/>
        </w:rPr>
        <w:t xml:space="preserve">The RBI held its repo rate steady at 5.25% in August, helping keep borrowing costs favourable and supporting affordability in six of India's eight largest housing markets through H1 2026.</w:t>
      </w:r>
    </w:p>
    <w:p>
      <w:pPr>
        <w:pStyle w:val="ListParagraph"/>
        <w:numPr>
          <w:ilvl w:val="0"/>
          <w:numId w:val="2"/>
        </w:numPr>
        <w:spacing w:after="80"/>
      </w:pPr>
      <w:r>
        <w:rPr>
          <w:b w:val="false"/>
          <w:bCs w:val="false"/>
        </w:rPr>
        <w:t xml:space="preserve">CREDAI Hyderabad's upcoming Property Show 2026 (65 developers, 100+ RERA-approved projects) illustrates continued organised developer activity even as the national market navigates a structural shift toward premium segments.</w:t>
      </w:r>
    </w:p>
    <w:p>
      <w:pPr>
        <w:spacing w:after="150"/>
      </w:pPr>
      <w:r>
        <w:rPr>
          <w:i/>
          <w:iCs/>
          <w:color w:val="595959"/>
          <w:sz w:val="18"/>
          <w:szCs w:val="18"/>
        </w:rPr>
        <w:t xml:space="preserve">Sources: CBRE India; RealNewsOfIndia (RBI rate, affordability); Telangana Today/Telugu Times.</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The Ministry of Housing and Urban Affairs' four-month RERA extension advisory, covering projects with completion deadlines on or after 28 February 2026, continues to be implemented at the state level nationally.</w:t>
      </w:r>
    </w:p>
    <w:p>
      <w:pPr>
        <w:pStyle w:val="ListParagraph"/>
        <w:numPr>
          <w:ilvl w:val="0"/>
          <w:numId w:val="2"/>
        </w:numPr>
        <w:spacing w:after="80"/>
      </w:pPr>
      <w:r>
        <w:rPr>
          <w:b w:val="false"/>
          <w:bCs w:val="false"/>
        </w:rPr>
        <w:t xml:space="preserve">The sharp national decline in affordable-housing launches (52% in 2018 to just 6% in Q2 2026) is likely to become an increasingly urgent policy conversation for CREDAI and state RERAs as premiumisation accelerates.</w:t>
      </w:r>
    </w:p>
    <w:p>
      <w:pPr>
        <w:pStyle w:val="ListParagraph"/>
        <w:numPr>
          <w:ilvl w:val="0"/>
          <w:numId w:val="2"/>
        </w:numPr>
        <w:spacing w:after="80"/>
      </w:pPr>
      <w:r>
        <w:rPr>
          <w:b w:val="false"/>
          <w:bCs w:val="false"/>
        </w:rPr>
        <w:t xml:space="preserve">Karnataka's pending guidance-value notification, Telangana's HYDRAA-Section 22A disruption, and Tamil Nadu's CMDA streamlining together illustrate the uneven but active pace of state-level real estate governance nationally this month.</w:t>
      </w:r>
    </w:p>
    <w:p>
      <w:pPr>
        <w:spacing w:after="150"/>
      </w:pPr>
      <w:r>
        <w:rPr>
          <w:i/>
          <w:iCs/>
          <w:color w:val="595959"/>
          <w:sz w:val="18"/>
          <w:szCs w:val="18"/>
        </w:rPr>
        <w:t xml:space="preserve">Sources: The Week/CounterView; Business Standard; Deccan Herald/Telangana Today.</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2026-08-26T03:41:05.417Z</dcterms:created>
  <dcterms:modified xsi:type="dcterms:W3CDTF">2026-08-26T03:41:05.430Z</dcterms:modified>
</cp:coreProperties>
</file>

<file path=docProps/custom.xml><?xml version="1.0" encoding="utf-8"?>
<Properties xmlns="http://schemas.openxmlformats.org/officeDocument/2006/custom-properties" xmlns:vt="http://schemas.openxmlformats.org/officeDocument/2006/docPropsVTypes"/>
</file>