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Tuesday, 21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housing prices jumped 24% YoY (+3% QoQ) to ~₹9,785/sq ft in Q1 2026 — now the second most expensive market in India after the Mumbai Metropolitan Region.</w:t>
      </w:r>
    </w:p>
    <w:p>
      <w:pPr>
        <w:pStyle w:val="ListParagraph"/>
        <w:numPr>
          <w:ilvl w:val="0"/>
          <w:numId w:val="2"/>
        </w:numPr>
        <w:spacing w:after="80"/>
      </w:pPr>
      <w:r>
        <w:rPr>
          <w:b w:val="false"/>
          <w:bCs w:val="false"/>
        </w:rPr>
        <w:t xml:space="preserve">Bengaluru was among the top price-growth performers nationally in Q1 2026, alongside Chennai, Delhi-NCR and Kolkata, each posting over 12% YoY appreciation against a 7-city average range of 8–20%.</w:t>
      </w:r>
    </w:p>
    <w:p>
      <w:pPr>
        <w:pStyle w:val="ListParagraph"/>
        <w:numPr>
          <w:ilvl w:val="0"/>
          <w:numId w:val="2"/>
        </w:numPr>
        <w:spacing w:after="80"/>
      </w:pPr>
      <w:r>
        <w:rPr>
          <w:b w:val="false"/>
          <w:bCs w:val="false"/>
        </w:rPr>
        <w:t xml:space="preserve">Prices are projected to rise a further 10–12% through the rest of 2026, driven by sustained demand, infrastructure expansion and limited supply in key micro-markets.</w:t>
      </w:r>
    </w:p>
    <w:p>
      <w:pPr>
        <w:spacing w:after="150"/>
      </w:pPr>
      <w:r>
        <w:rPr>
          <w:i/>
          <w:iCs/>
          <w:color w:val="595959"/>
          <w:sz w:val="18"/>
          <w:szCs w:val="18"/>
        </w:rPr>
        <w:t xml:space="preserve">Sources: LatestLY; Global Property Guide analysis; Proppy.ai.</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is now the world's "GCC capital" with 1,100+ Global Capability Centres, adding 66 new GCCs in H1 2026 (33 in Q1, 30+ in Q2); GCCs made up 60% of the city's office transactions (up from 53% a year earlier) on 8.5 million sq ft of GCC-led leasing — the highest of any Indian city.</w:t>
      </w:r>
    </w:p>
    <w:p>
      <w:pPr>
        <w:pStyle w:val="ListParagraph"/>
        <w:numPr>
          <w:ilvl w:val="0"/>
          <w:numId w:val="2"/>
        </w:numPr>
        <w:spacing w:after="80"/>
      </w:pPr>
      <w:r>
        <w:rPr>
          <w:b w:val="false"/>
          <w:bCs w:val="false"/>
        </w:rPr>
        <w:t xml:space="preserve">The city added 10.4 million sq ft of Grade A office supply in H1 2026, its highest new-supply level in recent years, taking total office stock to 254 million sq ft.</w:t>
      </w:r>
    </w:p>
    <w:p>
      <w:pPr>
        <w:pStyle w:val="ListParagraph"/>
        <w:numPr>
          <w:ilvl w:val="0"/>
          <w:numId w:val="2"/>
        </w:numPr>
        <w:spacing w:after="80"/>
      </w:pPr>
      <w:r>
        <w:rPr>
          <w:b w:val="false"/>
          <w:bCs w:val="false"/>
        </w:rPr>
        <w:t xml:space="preserve">Retail leasing reached ~0.25 million sq ft in Q2 2026 (+19% QoQ, +42% YoY), with main streets — Indiranagar, Brigade Road, Koramangala, Sarjapur Road — commanding a 68% share.</w:t>
      </w:r>
    </w:p>
    <w:p>
      <w:pPr>
        <w:pStyle w:val="ListParagraph"/>
        <w:numPr>
          <w:ilvl w:val="0"/>
          <w:numId w:val="2"/>
        </w:numPr>
        <w:spacing w:after="80"/>
      </w:pPr>
      <w:r>
        <w:rPr>
          <w:b w:val="false"/>
          <w:bCs w:val="false"/>
        </w:rPr>
        <w:t xml:space="preserve">The Union Budget 2026-27's data-centre tax holiday (until 2047, for foreign cloud providers using Indian data centres) is expected to spur further commercial land and office demand in Bengaluru alongside Delhi-NCR, Mumbai and Chennai.</w:t>
      </w:r>
    </w:p>
    <w:p>
      <w:pPr>
        <w:spacing w:after="150"/>
      </w:pPr>
      <w:r>
        <w:rPr>
          <w:i/>
          <w:iCs/>
          <w:color w:val="595959"/>
          <w:sz w:val="18"/>
          <w:szCs w:val="18"/>
        </w:rPr>
        <w:t xml:space="preserve">Sources: Tradebrains; IBEF/Colliers; BusinessToday.</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been left without a chairman after HC Kishore Chandra's retirement at 65, with the state government yet to name a successor — raising concerns over regulatory continuity.</w:t>
      </w:r>
    </w:p>
    <w:p>
      <w:pPr>
        <w:pStyle w:val="ListParagraph"/>
        <w:numPr>
          <w:ilvl w:val="0"/>
          <w:numId w:val="2"/>
        </w:numPr>
        <w:spacing w:after="80"/>
      </w:pPr>
      <w:r>
        <w:rPr>
          <w:b w:val="false"/>
          <w:bCs w:val="false"/>
        </w:rPr>
        <w:t xml:space="preserve">K-RERA directed Casagrande Garden City Builders to refund ₹52.74 lakh to a Bengaluru homebuyer over unfair GST billing practices, in an order dated 2 January 2026 by a bench headed by Member G.R. Reddy.</w:t>
      </w:r>
    </w:p>
    <w:p>
      <w:pPr>
        <w:pStyle w:val="ListParagraph"/>
        <w:numPr>
          <w:ilvl w:val="0"/>
          <w:numId w:val="2"/>
        </w:numPr>
        <w:spacing w:after="80"/>
      </w:pPr>
      <w:r>
        <w:rPr>
          <w:b w:val="false"/>
          <w:bCs w:val="false"/>
        </w:rPr>
        <w:t xml:space="preserve">K-RERA's recovery record remains weak — only ₹92 crore of the ₹758 crore owed by builders for delayed or incomplete projects had been recovered as of 31 December 2024, attributed to an overburdened district administration and the absence of a dedicated recovery officer.</w:t>
      </w:r>
    </w:p>
    <w:p>
      <w:pPr>
        <w:spacing w:after="150"/>
      </w:pPr>
      <w:r>
        <w:rPr>
          <w:i/>
          <w:iCs/>
          <w:color w:val="595959"/>
          <w:sz w:val="18"/>
          <w:szCs w:val="18"/>
        </w:rPr>
        <w:t xml:space="preserve">Sources: Deccan Herald; BookNewProperty; 99acres.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housing prices have risen 81% since 2019, even as average home sizes have shrunk — reflecting both an affordability squeeze and continued premiumisation.</w:t>
      </w:r>
    </w:p>
    <w:p>
      <w:pPr>
        <w:pStyle w:val="ListParagraph"/>
        <w:numPr>
          <w:ilvl w:val="0"/>
          <w:numId w:val="2"/>
        </w:numPr>
        <w:spacing w:after="80"/>
      </w:pPr>
      <w:r>
        <w:rPr>
          <w:b w:val="false"/>
          <w:bCs w:val="false"/>
        </w:rPr>
        <w:t xml:space="preserve">Housing sales in Chennai more than doubled year-on-year in a recent quarter (7,862 units versus 3,560 a year earlier), while Hyderabad, Bengaluru and Chennai together posted a 47% rise in housing sales.</w:t>
      </w:r>
    </w:p>
    <w:p>
      <w:pPr>
        <w:pStyle w:val="ListParagraph"/>
        <w:numPr>
          <w:ilvl w:val="0"/>
          <w:numId w:val="2"/>
        </w:numPr>
        <w:spacing w:after="80"/>
      </w:pPr>
      <w:r>
        <w:rPr>
          <w:b w:val="false"/>
          <w:bCs w:val="false"/>
        </w:rPr>
        <w:t xml:space="preserve">In Kochi, Palarivattom (+83.3%), Padamughal (+69.0%) and Maradu (+65.0%) recorded the sharpest property price appreciation over the last three years, underscoring the city's growing pull as a secondary South Indian market.</w:t>
      </w:r>
    </w:p>
    <w:p>
      <w:pPr>
        <w:spacing w:after="150"/>
      </w:pPr>
      <w:r>
        <w:rPr>
          <w:i/>
          <w:iCs/>
          <w:color w:val="595959"/>
          <w:sz w:val="18"/>
          <w:szCs w:val="18"/>
        </w:rPr>
        <w:t xml:space="preserve">Sources: Business Standard; Charan Group; 99acres.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 and Delhi-NCR together account for nearly half of India's warehousing and logistics leasing, as the sector's total transacted volume jumped 29% YoY to 72.5 million sq ft across the top 8 markets in 2026.</w:t>
      </w:r>
    </w:p>
    <w:p>
      <w:pPr>
        <w:pStyle w:val="ListParagraph"/>
        <w:numPr>
          <w:ilvl w:val="0"/>
          <w:numId w:val="2"/>
        </w:numPr>
        <w:spacing w:after="80"/>
      </w:pPr>
      <w:r>
        <w:rPr>
          <w:b w:val="false"/>
          <w:bCs w:val="false"/>
        </w:rPr>
        <w:t xml:space="preserve">Welspun One Logistics Parks has built a five-city warehousing portfolio — including Bengaluru and Chennai — totalling ~6.6 million sq ft of gross leasable area.</w:t>
      </w:r>
    </w:p>
    <w:p>
      <w:pPr>
        <w:pStyle w:val="ListParagraph"/>
        <w:numPr>
          <w:ilvl w:val="0"/>
          <w:numId w:val="2"/>
        </w:numPr>
        <w:spacing w:after="80"/>
      </w:pPr>
      <w:r>
        <w:rPr>
          <w:b w:val="false"/>
          <w:bCs w:val="false"/>
        </w:rPr>
        <w:t xml:space="preserve">Real estate growth in Telangana continues to spread beyond Hyderabad's Outer Ring Road, with Tier-2/3 towns in the state emerging as fresh investment hotspots.</w:t>
      </w:r>
    </w:p>
    <w:p>
      <w:pPr>
        <w:spacing w:after="150"/>
      </w:pPr>
      <w:r>
        <w:rPr>
          <w:i/>
          <w:iCs/>
          <w:color w:val="595959"/>
          <w:sz w:val="18"/>
          <w:szCs w:val="18"/>
        </w:rPr>
        <w:t xml:space="preserve">Sources: IQI Global; CBRE India Logistics Market Outlook; GRI Hub.</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Visakhapatnam has asked Andhra Pradesh's Stamps and Registration department to introduce a Project ID-based framework under CARD 2.0, aimed at streamlining registration for gated communities and large residential projects (May 2026).</w:t>
      </w:r>
    </w:p>
    <w:p>
      <w:pPr>
        <w:pStyle w:val="ListParagraph"/>
        <w:numPr>
          <w:ilvl w:val="0"/>
          <w:numId w:val="2"/>
        </w:numPr>
        <w:spacing w:after="80"/>
      </w:pPr>
      <w:r>
        <w:rPr>
          <w:b w:val="false"/>
          <w:bCs w:val="false"/>
        </w:rPr>
        <w:t xml:space="preserve">CREDAI Tamil Nadu now spans 10 city chapters — Chennai, Coimbatore, Trichy, Madurai, Erode, Tirunelveli, Salem, Hosur, Dharmapuri and Puducherry — with over 450 active member associates.</w:t>
      </w:r>
    </w:p>
    <w:p>
      <w:pPr>
        <w:pStyle w:val="ListParagraph"/>
        <w:numPr>
          <w:ilvl w:val="0"/>
          <w:numId w:val="2"/>
        </w:numPr>
        <w:spacing w:after="80"/>
      </w:pPr>
      <w:r>
        <w:rPr>
          <w:b w:val="false"/>
          <w:bCs w:val="false"/>
        </w:rPr>
        <w:t xml:space="preserve">CREDAI Telangana leadership continues to flag that the state's real estate growth is no longer confined to Hyderabad, with Tier-2/3 regions in both Telangana and residual Andhra Pradesh expected to catch up.</w:t>
      </w:r>
    </w:p>
    <w:p>
      <w:pPr>
        <w:spacing w:after="150"/>
      </w:pPr>
      <w:r>
        <w:rPr>
          <w:i/>
          <w:iCs/>
          <w:color w:val="595959"/>
          <w:sz w:val="18"/>
          <w:szCs w:val="18"/>
        </w:rPr>
        <w:t xml:space="preserve">Sources: Deccan Chronicle; CREDAI Tamil Nadu; CREDAI Telangana.</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Housing prices across India's seven major cities rose 8–20% YoY in Q1 2026; Bengaluru, Chennai, Delhi-NCR and Kolkata led with over 12% growth each, while Hyderabad posted a more moderate 8%.</w:t>
      </w:r>
    </w:p>
    <w:p>
      <w:pPr>
        <w:pStyle w:val="ListParagraph"/>
        <w:numPr>
          <w:ilvl w:val="0"/>
          <w:numId w:val="2"/>
        </w:numPr>
        <w:spacing w:after="80"/>
      </w:pPr>
      <w:r>
        <w:rPr>
          <w:b w:val="false"/>
          <w:bCs w:val="false"/>
        </w:rPr>
        <w:t xml:space="preserve">India's top 8 cities sold 1,71,471 residential units in H1 2026 (+1% YoY), with homes priced above ₹1 crore now accounting for 54% of sales, up from 49% a year earlier.</w:t>
      </w:r>
    </w:p>
    <w:p>
      <w:pPr>
        <w:pStyle w:val="ListParagraph"/>
        <w:numPr>
          <w:ilvl w:val="0"/>
          <w:numId w:val="2"/>
        </w:numPr>
        <w:spacing w:after="80"/>
      </w:pPr>
      <w:r>
        <w:rPr>
          <w:b w:val="false"/>
          <w:bCs w:val="false"/>
        </w:rPr>
        <w:t xml:space="preserve">Mumbai remains India's most expensive housing market at ~₹36,881/sq ft, followed by Delhi and Gurugram; the near-term outlook points to continued but more measured and uneven price growth, led by premium and luxury demand from affluent domestic buyers and NRIs.</w:t>
      </w:r>
    </w:p>
    <w:p>
      <w:pPr>
        <w:spacing w:after="150"/>
      </w:pPr>
      <w:r>
        <w:rPr>
          <w:i/>
          <w:iCs/>
          <w:color w:val="595959"/>
          <w:sz w:val="18"/>
          <w:szCs w:val="18"/>
        </w:rPr>
        <w:t xml:space="preserve">Sources: JLL Residential Dynamics Report; Newkerala; Global Property Guide.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Leasing within listed office REITs touched ~5 million sq ft in Q1 2026 — about 95% above average quarterly absorption — with REIT office occupancy exceeding 90% and rentals up 4–8% YoY.</w:t>
      </w:r>
    </w:p>
    <w:p>
      <w:pPr>
        <w:pStyle w:val="ListParagraph"/>
        <w:numPr>
          <w:ilvl w:val="0"/>
          <w:numId w:val="2"/>
        </w:numPr>
        <w:spacing w:after="80"/>
      </w:pPr>
      <w:r>
        <w:rPr>
          <w:b w:val="false"/>
          <w:bCs w:val="false"/>
        </w:rPr>
        <w:t xml:space="preserve">Office REITs have leased over 60 million sq ft cumulatively since 2021; of ~525 million sq ft of REIT-worthy Grade A stock nationally, ~141 million sq ft is already listed across four office REITs, with penetration expected to cross 20% within a few years.</w:t>
      </w:r>
    </w:p>
    <w:p>
      <w:pPr>
        <w:pStyle w:val="ListParagraph"/>
        <w:numPr>
          <w:ilvl w:val="0"/>
          <w:numId w:val="2"/>
        </w:numPr>
        <w:spacing w:after="80"/>
      </w:pPr>
      <w:r>
        <w:rPr>
          <w:b w:val="false"/>
          <w:bCs w:val="false"/>
        </w:rPr>
        <w:t xml:space="preserve">SEBI's move to reclassify REITs as equity instruments — enabling mutual funds to include them in equity indices — has strengthened the sector's institutional appeal, aligning India with global practice.</w:t>
      </w:r>
    </w:p>
    <w:p>
      <w:pPr>
        <w:spacing w:after="150"/>
      </w:pPr>
      <w:r>
        <w:rPr>
          <w:i/>
          <w:iCs/>
          <w:color w:val="595959"/>
          <w:sz w:val="18"/>
          <w:szCs w:val="18"/>
        </w:rPr>
        <w:t xml:space="preserve">Sources: Colliers India REIT Market Report; Business Standard.</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CREDAI's Union Budget 2026-27 submission calls for raising the affordable-housing price cap to ₹90 lakh, tax relief for developers, and a new National Rental Housing Mission to build large-scale affordable rental stock in Tier-1/2 cities via fiscal incentives and institutional participation.</w:t>
      </w:r>
    </w:p>
    <w:p>
      <w:pPr>
        <w:pStyle w:val="ListParagraph"/>
        <w:numPr>
          <w:ilvl w:val="0"/>
          <w:numId w:val="2"/>
        </w:numPr>
        <w:spacing w:after="80"/>
      </w:pPr>
      <w:r>
        <w:rPr>
          <w:b w:val="false"/>
          <w:bCs w:val="false"/>
        </w:rPr>
        <w:t xml:space="preserve">Union Home Minister Amit Shah, addressing a CREDAI conclave, credited RERA with streamlining the sector and protecting homebuyers, and noted GST cuts benefiting the sector — affordable housing GST down from 8% to 1%, other housing projects from 12% to 5%, and key inputs (cement, marble, granite, sand, lime, bricks) also reduced.</w:t>
      </w:r>
    </w:p>
    <w:p>
      <w:pPr>
        <w:pStyle w:val="ListParagraph"/>
        <w:numPr>
          <w:ilvl w:val="0"/>
          <w:numId w:val="2"/>
        </w:numPr>
        <w:spacing w:after="80"/>
      </w:pPr>
      <w:r>
        <w:rPr>
          <w:b w:val="false"/>
          <w:bCs w:val="false"/>
        </w:rPr>
        <w:t xml:space="preserve">Industry commentary continues to credit RERA with reshaping India's housing market and boosting investor confidence through improved transparency and buyer protection.</w:t>
      </w:r>
    </w:p>
    <w:p>
      <w:pPr>
        <w:spacing w:after="150"/>
      </w:pPr>
      <w:r>
        <w:rPr>
          <w:i/>
          <w:iCs/>
          <w:color w:val="595959"/>
          <w:sz w:val="18"/>
          <w:szCs w:val="18"/>
        </w:rPr>
        <w:t xml:space="preserve">Sources: DD News; Home Pravesh; SKJ Landbase; Business Standard.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2026-07-21T03:39:51.762Z</dcterms:created>
  <dcterms:modified xsi:type="dcterms:W3CDTF">2026-07-21T03:39:51.788Z</dcterms:modified>
</cp:coreProperties>
</file>

<file path=docProps/custom.xml><?xml version="1.0" encoding="utf-8"?>
<Properties xmlns="http://schemas.openxmlformats.org/officeDocument/2006/custom-properties" xmlns:vt="http://schemas.openxmlformats.org/officeDocument/2006/docPropsVTypes"/>
</file>