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16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Devanahalli's average flat rate reached ₹9,500 per sq ft in Q1 2026, up 20.3% YoY and a striking 97.9% over five years — among the strongest price momentum of any Bengaluru corridor — with pricing spanning ₹40 lakh for plotted developments to ₹2.5 crore-plus for premium villas and apartments.</w:t>
      </w:r>
    </w:p>
    <w:p>
      <w:pPr>
        <w:pStyle w:val="ListParagraph"/>
        <w:numPr>
          <w:ilvl w:val="0"/>
          <w:numId w:val="2"/>
        </w:numPr>
        <w:spacing w:after="80"/>
      </w:pPr>
      <w:r>
        <w:rPr>
          <w:b w:val="false"/>
          <w:bCs w:val="false"/>
        </w:rPr>
        <w:t xml:space="preserve">Foxconn has begun hiring at its Devanahalli industrial zone for iPhone manufacturing in 2026, a milestone that is helping the corridor graduate from pure airport-adjacency into a serious multi-sector employment hub.</w:t>
      </w:r>
    </w:p>
    <w:p>
      <w:pPr>
        <w:pStyle w:val="ListParagraph"/>
        <w:numPr>
          <w:ilvl w:val="0"/>
          <w:numId w:val="2"/>
        </w:numPr>
        <w:spacing w:after="80"/>
      </w:pPr>
      <w:r>
        <w:rPr>
          <w:b w:val="false"/>
          <w:bCs w:val="false"/>
        </w:rPr>
        <w:t xml:space="preserve">The under-construction Namma Metro Blue Line, linking Central Silk Board through Bellandur, Marathahalli, Mahadevapura and K R Puram to Hebbal, Yelahanka and the airport, remains on track for completion in 2027, reinforcing long-term residential demand along the corridor.</w:t>
      </w:r>
    </w:p>
    <w:p>
      <w:pPr>
        <w:spacing w:after="150"/>
      </w:pPr>
      <w:r>
        <w:rPr>
          <w:i/>
          <w:iCs/>
          <w:color w:val="595959"/>
          <w:sz w:val="18"/>
          <w:szCs w:val="18"/>
        </w:rPr>
        <w:t xml:space="preserve">Sources: NxtFootstep/99acres via Bulwark (Devanahalli Q1 2026 pricing, five-year appreciation); Sobha/Bulwark Woodland Forest (Foxconn hiring, corridor employment shift, Blue Line status).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Devanahalli's employment base now spans the ₹1,500-billion BIAL ITIR investment region, Foxconn's 300-acre facility, Boeing's largest facility outside the US, and Amazon and Walmart GCC operations, alongside a 400-acre dedicated Devanahalli Business Park.</w:t>
      </w:r>
    </w:p>
    <w:p>
      <w:pPr>
        <w:pStyle w:val="ListParagraph"/>
        <w:numPr>
          <w:ilvl w:val="0"/>
          <w:numId w:val="2"/>
        </w:numPr>
        <w:spacing w:after="80"/>
      </w:pPr>
      <w:r>
        <w:rPr>
          <w:b w:val="false"/>
          <w:bCs w:val="false"/>
        </w:rPr>
        <w:t xml:space="preserve">Bengaluru Airport City Limited (BACL) continues construction of a 17.7-acre, 2-million-sq-ft business park near KIA purpose-built to house Global Capability Centres, reinforcing the corridor's shift toward large-format commercial development.</w:t>
      </w:r>
    </w:p>
    <w:p>
      <w:pPr>
        <w:pStyle w:val="ListParagraph"/>
        <w:numPr>
          <w:ilvl w:val="0"/>
          <w:numId w:val="2"/>
        </w:numPr>
        <w:spacing w:after="80"/>
      </w:pPr>
      <w:r>
        <w:rPr>
          <w:b w:val="false"/>
          <w:bCs w:val="false"/>
        </w:rPr>
        <w:t xml:space="preserve">The scale of Devanahalli's simultaneous residential and industrial build-out — spanning aerospace, electronics manufacturing and GCC office space — is unmatched elsewhere in Bengaluru's peripheral growth corridors.</w:t>
      </w:r>
    </w:p>
    <w:p>
      <w:pPr>
        <w:spacing w:after="150"/>
      </w:pPr>
      <w:r>
        <w:rPr>
          <w:i/>
          <w:iCs/>
          <w:color w:val="595959"/>
          <w:sz w:val="18"/>
          <w:szCs w:val="18"/>
        </w:rPr>
        <w:t xml:space="preserve">Sources: Bulwark Woodland Forest (BIAL ITIR, Foxconn, Boeing, GCC employers, Devanahalli Business Park); Mahindra Lifespaces (BACL business park).</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of Devanahalli's fast-multiplying project pipeline is under growing scrutiny given the corridor's near-98% five-year price appreciation and rapidly diversifying employment base.</w:t>
      </w:r>
    </w:p>
    <w:p>
      <w:pPr>
        <w:pStyle w:val="ListParagraph"/>
        <w:numPr>
          <w:ilvl w:val="0"/>
          <w:numId w:val="2"/>
        </w:numPr>
        <w:spacing w:after="80"/>
      </w:pPr>
      <w:r>
        <w:rPr>
          <w:b w:val="false"/>
          <w:bCs w:val="false"/>
        </w:rPr>
        <w:t xml:space="preserve">CREDAI Karnataka continues to track Foxconn's Devanahalli hiring ramp-up as a bellwether for how large-scale manufacturing investment is reshaping demand well beyond the city's traditional IT corridors.</w:t>
      </w:r>
    </w:p>
    <w:p>
      <w:pPr>
        <w:pStyle w:val="ListParagraph"/>
        <w:numPr>
          <w:ilvl w:val="0"/>
          <w:numId w:val="2"/>
        </w:numPr>
        <w:spacing w:after="80"/>
      </w:pPr>
      <w:r>
        <w:rPr>
          <w:b w:val="false"/>
          <w:bCs w:val="false"/>
        </w:rPr>
        <w:t xml:space="preserve">The scale of committed public and private investment around Devanahalli — BIAL ITIR, Metro Blue Line, BACL's GCC business park — requires close coordination between state infrastructure planners and CREDAI Karnataka on phasing new project approvals.</w:t>
      </w:r>
    </w:p>
    <w:p>
      <w:pPr>
        <w:spacing w:after="150"/>
      </w:pPr>
      <w:r>
        <w:rPr>
          <w:i/>
          <w:iCs/>
          <w:color w:val="595959"/>
          <w:sz w:val="18"/>
          <w:szCs w:val="18"/>
        </w:rPr>
        <w:t xml:space="preserve">Sources: Bulwark Woodland Forest; NxtFootstep/99acres via Bulwark; Mahindra Lifespaces.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HMDA's e-auction of 60 residential plots at Inmulnarva Layout saw 20 plots successfully sold, generating roughly ₹6.57 crore, with bidding peaking at ₹21,000 per square yard and a weighted average of ₹16,725 per square yard.</w:t>
      </w:r>
    </w:p>
    <w:p>
      <w:pPr>
        <w:pStyle w:val="ListParagraph"/>
        <w:numPr>
          <w:ilvl w:val="0"/>
          <w:numId w:val="2"/>
        </w:numPr>
        <w:spacing w:after="80"/>
      </w:pPr>
      <w:r>
        <w:rPr>
          <w:b w:val="false"/>
          <w:bCs w:val="false"/>
        </w:rPr>
        <w:t xml:space="preserve">HMDA is preparing a major September 2026 land auction offering 42 acres across prime Moosapet, Banjara Hills and Kondapur locations, with the online auction expected to generate over ₹5,000 crore in revenue.</w:t>
      </w:r>
    </w:p>
    <w:p>
      <w:pPr>
        <w:pStyle w:val="ListParagraph"/>
        <w:numPr>
          <w:ilvl w:val="0"/>
          <w:numId w:val="2"/>
        </w:numPr>
        <w:spacing w:after="80"/>
      </w:pPr>
      <w:r>
        <w:rPr>
          <w:b w:val="false"/>
          <w:bCs w:val="false"/>
        </w:rPr>
        <w:t xml:space="preserve">Shadnagar, on the Hyderabad-Bengaluru highway (NH-44), has seen a steady uptick in both residential and industrial interest, emerging as a fresh growth node linking Telangana's capital to its southern industrial corridor.</w:t>
      </w:r>
    </w:p>
    <w:p>
      <w:pPr>
        <w:spacing w:after="150"/>
      </w:pPr>
      <w:r>
        <w:rPr>
          <w:i/>
          <w:iCs/>
          <w:color w:val="595959"/>
          <w:sz w:val="18"/>
          <w:szCs w:val="18"/>
        </w:rPr>
        <w:t xml:space="preserve">Sources: The Hans India (HMDA Inmulnarva e-auction results); Pavani Group/Hyderabad Mail (September 2026 HMDA mega auction, Shadnagar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HMDA's continued mega land auctions are playing a significant role in mobilising capital for Hyderabad's infrastructure projects, with the upcoming Moosapet-Banjara Hills-Kondapur auction alone targeted to raise over ₹5,000 crore.</w:t>
      </w:r>
    </w:p>
    <w:p>
      <w:pPr>
        <w:pStyle w:val="ListParagraph"/>
        <w:numPr>
          <w:ilvl w:val="0"/>
          <w:numId w:val="2"/>
        </w:numPr>
        <w:spacing w:after="80"/>
      </w:pPr>
      <w:r>
        <w:rPr>
          <w:b w:val="false"/>
          <w:bCs w:val="false"/>
        </w:rPr>
        <w:t xml:space="preserve">Shadnagar's growing industrial interest alongside residential demand reflects the NH-44 corridor's dual-use appeal as Hyderabad's southern growth axis toward Bengaluru continues to develop.</w:t>
      </w:r>
    </w:p>
    <w:p>
      <w:pPr>
        <w:pStyle w:val="ListParagraph"/>
        <w:numPr>
          <w:ilvl w:val="0"/>
          <w:numId w:val="2"/>
        </w:numPr>
        <w:spacing w:after="80"/>
      </w:pPr>
      <w:r>
        <w:rPr>
          <w:b w:val="false"/>
          <w:bCs w:val="false"/>
        </w:rPr>
        <w:t xml:space="preserve">The strong weighted-average bid of ₹16,725 per sq yard at Inmulnarva Layout signals sustained institutional and retail investor appetite for HMDA-auctioned land even amid broader national market normalisation.</w:t>
      </w:r>
    </w:p>
    <w:p>
      <w:pPr>
        <w:spacing w:after="150"/>
      </w:pPr>
      <w:r>
        <w:rPr>
          <w:i/>
          <w:iCs/>
          <w:color w:val="595959"/>
          <w:sz w:val="18"/>
          <w:szCs w:val="18"/>
        </w:rPr>
        <w:t xml:space="preserve">Sources: The Hans India; Pavani Group/Hyderabad Mail; HMDAPlots.in.</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HMDA's continued transparent e-auction process — from Inmulnarva Layout's ₹6.57 crore sale to the upcoming ₹5,000-crore Moosapet-Banjara Hills-Kondapur cycle — offers CREDAI Telangana a model for state-backed land monetisation with clear price discovery.</w:t>
      </w:r>
    </w:p>
    <w:p>
      <w:pPr>
        <w:pStyle w:val="ListParagraph"/>
        <w:numPr>
          <w:ilvl w:val="0"/>
          <w:numId w:val="2"/>
        </w:numPr>
        <w:spacing w:after="80"/>
      </w:pPr>
      <w:r>
        <w:rPr>
          <w:b w:val="false"/>
          <w:bCs w:val="false"/>
        </w:rPr>
        <w:t xml:space="preserve">Shadnagar's emerging dual residential-industrial profile along NH-44 is likely to draw CREDAI Telangana's attention as a fresh registration corridor linking Hyderabad's southern periphery to Bengaluru's northern growth belt.</w:t>
      </w:r>
    </w:p>
    <w:p>
      <w:pPr>
        <w:pStyle w:val="ListParagraph"/>
        <w:numPr>
          <w:ilvl w:val="0"/>
          <w:numId w:val="2"/>
        </w:numPr>
        <w:spacing w:after="80"/>
      </w:pPr>
      <w:r>
        <w:rPr>
          <w:b w:val="false"/>
          <w:bCs w:val="false"/>
        </w:rPr>
        <w:t xml:space="preserve">Continued HMDA land-auction revenue is expected to fund infrastructure that further supports Telangana's registration and compliance pipeline across both established and emerging Hyderabad corridors.</w:t>
      </w:r>
    </w:p>
    <w:p>
      <w:pPr>
        <w:spacing w:after="150"/>
      </w:pPr>
      <w:r>
        <w:rPr>
          <w:i/>
          <w:iCs/>
          <w:color w:val="595959"/>
          <w:sz w:val="18"/>
          <w:szCs w:val="18"/>
        </w:rPr>
        <w:t xml:space="preserve">Sources: The Hans India; Pavani Group/Hyderabad Mail.</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office sector recorded its highest-ever half-yearly net absorption in H1 2026, with net absorption rising 11.6% YoY to 26.9 million sq ft, even as supply additions also hit a record high for any H1 period.</w:t>
      </w:r>
    </w:p>
    <w:p>
      <w:pPr>
        <w:pStyle w:val="ListParagraph"/>
        <w:numPr>
          <w:ilvl w:val="0"/>
          <w:numId w:val="2"/>
        </w:numPr>
        <w:spacing w:after="80"/>
      </w:pPr>
      <w:r>
        <w:rPr>
          <w:b w:val="false"/>
          <w:bCs w:val="false"/>
        </w:rPr>
        <w:t xml:space="preserve">GCCs remained the market's primary demand catalyst, leasing approximately 10.3 million sq ft in Q2 2026 alone; across H1 2026 GCCs absorbed roughly 19.6 million sq ft — 43% of total half-yearly leasing and a 17% YoY increase.</w:t>
      </w:r>
    </w:p>
    <w:p>
      <w:pPr>
        <w:pStyle w:val="ListParagraph"/>
        <w:numPr>
          <w:ilvl w:val="0"/>
          <w:numId w:val="2"/>
        </w:numPr>
        <w:spacing w:after="80"/>
      </w:pPr>
      <w:r>
        <w:rPr>
          <w:b w:val="false"/>
          <w:bCs w:val="false"/>
        </w:rPr>
        <w:t xml:space="preserve">Q2 2026 office absorption hit a record 23.9 million sq ft nationally, with the demand-supply gap widening to 9 million sq ft and fuelling continued rental growth across major markets, per Vestian.</w:t>
      </w:r>
    </w:p>
    <w:p>
      <w:pPr>
        <w:spacing w:after="150"/>
      </w:pPr>
      <w:r>
        <w:rPr>
          <w:i/>
          <w:iCs/>
          <w:color w:val="595959"/>
          <w:sz w:val="18"/>
          <w:szCs w:val="18"/>
        </w:rPr>
        <w:t xml:space="preserve">Sources: Business Standard/JLL (H1 2026 net absorption, GCC leasing share); Tripura Star News/Vestian (Q2 2026 record absorption, demand-supply gap).</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sector has now posted three consecutive years of record absorption, with fundamentals remaining resilient despite a cautious global backdrop shaped by the Middle East crisis, AI-driven hiring shifts and cross-border talent mobility constraints.</w:t>
      </w:r>
    </w:p>
    <w:p>
      <w:pPr>
        <w:pStyle w:val="ListParagraph"/>
        <w:numPr>
          <w:ilvl w:val="0"/>
          <w:numId w:val="2"/>
        </w:numPr>
        <w:spacing w:after="80"/>
      </w:pPr>
      <w:r>
        <w:rPr>
          <w:b w:val="false"/>
          <w:bCs w:val="false"/>
        </w:rPr>
        <w:t xml:space="preserve">Devanahalli's simultaneous residential and industrial build-out (Foxconn, Boeing, Amazon/Walmart GCCs) and Hyderabad's continued HMDA mega land auctions both illustrate how India's GCC and manufacturing expansion is reshaping peripheral real estate markets nationally.</w:t>
      </w:r>
    </w:p>
    <w:p>
      <w:pPr>
        <w:pStyle w:val="ListParagraph"/>
        <w:numPr>
          <w:ilvl w:val="0"/>
          <w:numId w:val="2"/>
        </w:numPr>
        <w:spacing w:after="80"/>
      </w:pPr>
      <w:r>
        <w:rPr>
          <w:b w:val="false"/>
          <w:bCs w:val="false"/>
        </w:rPr>
        <w:t xml:space="preserve">The widening national demand-supply gap (9 million sq ft in Q2 2026) is expected to sustain rental growth momentum across India's top office markets through the remainder of 2026.</w:t>
      </w:r>
    </w:p>
    <w:p>
      <w:pPr>
        <w:spacing w:after="150"/>
      </w:pPr>
      <w:r>
        <w:rPr>
          <w:i/>
          <w:iCs/>
          <w:color w:val="595959"/>
          <w:sz w:val="18"/>
          <w:szCs w:val="18"/>
        </w:rPr>
        <w:t xml:space="preserve">Sources: Business Standard/JLL; Tripura Star News/Vestian; Bulwark Woodland Forest; The Hans India.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Record national office absorption, led by sustained GCC demand, continues to reinforce developer and investor confidence even amid the broader residential sales softness reported earlier in FY27.</w:t>
      </w:r>
    </w:p>
    <w:p>
      <w:pPr>
        <w:pStyle w:val="ListParagraph"/>
        <w:numPr>
          <w:ilvl w:val="0"/>
          <w:numId w:val="2"/>
        </w:numPr>
        <w:spacing w:after="80"/>
      </w:pPr>
      <w:r>
        <w:rPr>
          <w:b w:val="false"/>
          <w:bCs w:val="false"/>
        </w:rPr>
        <w:t xml:space="preserve">HMDA's continued mega land auctions (₹5,000-crore-plus expected from the upcoming Moosapet-Banjara Hills-Kondapur cycle) exemplify how state development authorities nationally are monetising land assets to fund infrastructure.</w:t>
      </w:r>
    </w:p>
    <w:p>
      <w:pPr>
        <w:pStyle w:val="ListParagraph"/>
        <w:numPr>
          <w:ilvl w:val="0"/>
          <w:numId w:val="2"/>
        </w:numPr>
        <w:spacing w:after="80"/>
      </w:pPr>
      <w:r>
        <w:rPr>
          <w:b w:val="false"/>
          <w:bCs w:val="false"/>
        </w:rPr>
        <w:t xml:space="preserve">Devanahalli's near-98% five-year appreciation and Shadnagar's dual residential-industrial growth both illustrate how India's GCC and manufacturing employment expansion continues to reshape peripheral real estate markets well beyond established metro cores.</w:t>
      </w:r>
    </w:p>
    <w:p>
      <w:pPr>
        <w:spacing w:after="150"/>
      </w:pPr>
      <w:r>
        <w:rPr>
          <w:i/>
          <w:iCs/>
          <w:color w:val="595959"/>
          <w:sz w:val="18"/>
          <w:szCs w:val="18"/>
        </w:rPr>
        <w:t xml:space="preserve">Sources: Business Standard/JLL; The Hans India; Bulwark Woodland Forest.</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2026-09-16T03:40:11.211Z</dcterms:created>
  <dcterms:modified xsi:type="dcterms:W3CDTF">2026-09-16T03:40:11.230Z</dcterms:modified>
</cp:coreProperties>
</file>

<file path=docProps/custom.xml><?xml version="1.0" encoding="utf-8"?>
<Properties xmlns="http://schemas.openxmlformats.org/officeDocument/2006/custom-properties" xmlns:vt="http://schemas.openxmlformats.org/officeDocument/2006/docPropsVTypes"/>
</file>