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NBR Group – Daily Morning Real Estate Digest</w:t>
      </w:r>
    </w:p>
    <w:p>
      <w:pPr>
        <w:spacing w:after="300"/>
        <w:jc w:val="center"/>
      </w:pPr>
      <w:r>
        <w:rPr>
          <w:i/>
          <w:iCs/>
          <w:color w:val="595959"/>
          <w:sz w:val="22"/>
          <w:szCs w:val="22"/>
        </w:rPr>
        <w:t xml:space="preserve">Compiled for Senior Management  |  Wednesday, 7 October 2026  |  For internal circulation</w:t>
      </w:r>
    </w:p>
    <w:p>
      <w:pPr>
        <w:spacing w:after="120"/>
      </w:pPr>
      <w:r>
        <w:t xml:space="preserve">This digest tracks residential-led news and updates across the real estate sector, with additional coverage of commercial, industrial and leasing activity, structured across three layers: (1) Bengaluru &amp; Karnataka, (2) South India, and (3) National. RERA and CREDAI updates are reported within each respective layer.</w:t>
      </w:r>
    </w:p>
    <w:p>
      <w:pPr>
        <w:pStyle w:val="Heading1"/>
        <w:pBdr>
          <w:bottom w:val="single" w:color="1F3864" w:sz="12" w:space="4"/>
        </w:pBdr>
        <w:spacing w:after="150" w:before="400"/>
      </w:pPr>
      <w:r>
        <w:rPr>
          <w:b/>
          <w:bCs/>
          <w:color w:val="1F3864"/>
        </w:rPr>
        <w:t xml:space="preserve">Layer 1 — Bengaluru &amp; Karnataka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JP Nagar flats now average ₹10,450 per sq ft, with a wide range of ₹7,550-15,150 per sq ft and a 32.3% YoY rise as of mid-2026, making it one of South Bengaluru's priciest settled addresses.</w:t>
      </w:r>
    </w:p>
    <w:p>
      <w:pPr>
        <w:pStyle w:val="ListParagraph"/>
        <w:numPr>
          <w:ilvl w:val="0"/>
          <w:numId w:val="2"/>
        </w:numPr>
        <w:spacing w:after="80"/>
      </w:pPr>
      <w:r>
        <w:rPr>
          <w:b w:val="false"/>
          <w:bCs w:val="false"/>
        </w:rPr>
        <w:t xml:space="preserve">JP Nagar's 7th Phase, toward Kothnur, is seeing the most apartment activity, averaging around ₹12,250 per sq ft.</w:t>
      </w:r>
    </w:p>
    <w:p>
      <w:pPr>
        <w:pStyle w:val="ListParagraph"/>
        <w:numPr>
          <w:ilvl w:val="0"/>
          <w:numId w:val="2"/>
        </w:numPr>
        <w:spacing w:after="80"/>
      </w:pPr>
      <w:r>
        <w:rPr>
          <w:b w:val="false"/>
          <w:bCs w:val="false"/>
        </w:rPr>
        <w:t xml:space="preserve">Bommanahalli averages ₹8,000 per sq ft (+17.6% YoY), while Hulimavu remains comparatively affordable at ₹7,350 per sq ft, with BDA-allotted sites in Hulimavu and Gottigere reselling at ₹7,000-9,000 per sq ft.</w:t>
      </w:r>
    </w:p>
    <w:p>
      <w:pPr>
        <w:spacing w:after="150"/>
      </w:pPr>
      <w:r>
        <w:rPr>
          <w:i/>
          <w:iCs/>
          <w:color w:val="595959"/>
          <w:sz w:val="18"/>
          <w:szCs w:val="18"/>
        </w:rPr>
        <w:t xml:space="preserve">Sources: PropNewz (JP Nagar pricing, 7th Phase activity); 99acres (Bommanahalli, Hulimavu pricing).</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The Commissioner of Metro Railway Safety is conducting the Pink Line's final inspection from 6-8 October 2026, a critical step before the Bannerghatta Road corridor's mid-October opening.</w:t>
      </w:r>
    </w:p>
    <w:p>
      <w:pPr>
        <w:pStyle w:val="ListParagraph"/>
        <w:numPr>
          <w:ilvl w:val="0"/>
          <w:numId w:val="2"/>
        </w:numPr>
        <w:spacing w:after="80"/>
      </w:pPr>
      <w:r>
        <w:rPr>
          <w:b w:val="false"/>
          <w:bCs w:val="false"/>
        </w:rPr>
        <w:t xml:space="preserve">Once operational, the Pink Line will provide Bengaluru's interchange with the Yellow Line at Jayadeva Hospital, directly benefiting JP Nagar, Bommanahalli and Hulimavu's commercial and retail catchments.</w:t>
      </w:r>
    </w:p>
    <w:p>
      <w:pPr>
        <w:pStyle w:val="ListParagraph"/>
        <w:numPr>
          <w:ilvl w:val="0"/>
          <w:numId w:val="2"/>
        </w:numPr>
        <w:spacing w:after="80"/>
      </w:pPr>
      <w:r>
        <w:rPr>
          <w:b w:val="false"/>
          <w:bCs w:val="false"/>
        </w:rPr>
        <w:t xml:space="preserve">The Pink Line's underground section is targeted for a January 2027 opening, extending the corridor's connectivity benefits further into central Bengaluru over the medium term.</w:t>
      </w:r>
    </w:p>
    <w:p>
      <w:pPr>
        <w:spacing w:after="150"/>
      </w:pPr>
      <w:r>
        <w:rPr>
          <w:i/>
          <w:iCs/>
          <w:color w:val="595959"/>
          <w:sz w:val="18"/>
          <w:szCs w:val="18"/>
        </w:rPr>
        <w:t xml:space="preserve">Sources: Deccan Herald/Nativeplanet (Pink Line CMRS inspection, underground section timeline).</w:t>
      </w:r>
    </w:p>
    <w:p>
      <w:pPr>
        <w:pStyle w:val="Heading2"/>
        <w:spacing w:after="100" w:before="200"/>
      </w:pPr>
      <w:r>
        <w:rPr>
          <w:b/>
          <w:bCs/>
          <w:color w:val="C00000"/>
        </w:rPr>
        <w:t xml:space="preserve">Karnataka RERA &amp; CREDAI Updates</w:t>
      </w:r>
    </w:p>
    <w:p>
      <w:pPr>
        <w:pStyle w:val="ListParagraph"/>
        <w:numPr>
          <w:ilvl w:val="0"/>
          <w:numId w:val="2"/>
        </w:numPr>
        <w:spacing w:after="80"/>
      </w:pPr>
      <w:r>
        <w:rPr>
          <w:b w:val="false"/>
          <w:bCs w:val="false"/>
        </w:rPr>
        <w:t xml:space="preserve">Karnataka's stamp duty and registration charges now total roughly 7.6% in 2026, with registration costing 2% of property value (up from 1% before the August 2025 revision) plus a 10% cess and 2-3% surcharge on stamp duty.</w:t>
      </w:r>
    </w:p>
    <w:p>
      <w:pPr>
        <w:pStyle w:val="ListParagraph"/>
        <w:numPr>
          <w:ilvl w:val="0"/>
          <w:numId w:val="2"/>
        </w:numPr>
        <w:spacing w:after="80"/>
      </w:pPr>
      <w:r>
        <w:rPr>
          <w:b w:val="false"/>
          <w:bCs w:val="false"/>
        </w:rPr>
        <w:t xml:space="preserve">Since 2023, Karnataka has moved entirely to e-Stamp for property registrations, with the 2026 process running through the Kaveri 2.0 digital platform covering online appointments, e-Stamp integration and electronic filing.</w:t>
      </w:r>
    </w:p>
    <w:p>
      <w:pPr>
        <w:pStyle w:val="ListParagraph"/>
        <w:numPr>
          <w:ilvl w:val="0"/>
          <w:numId w:val="2"/>
        </w:numPr>
        <w:spacing w:after="80"/>
      </w:pPr>
      <w:r>
        <w:rPr>
          <w:b w:val="false"/>
          <w:bCs w:val="false"/>
        </w:rPr>
        <w:t xml:space="preserve">NAREDCO has urged state governments including Karnataka to reduce stamp duty on affordable-home registrations (up to ₹45 lakh) to 1% for women buyers and 3% for men, a proposal CREDAI Karnataka is likely to support.</w:t>
      </w:r>
    </w:p>
    <w:p>
      <w:pPr>
        <w:spacing w:after="150"/>
      </w:pPr>
      <w:r>
        <w:rPr>
          <w:i/>
          <w:iCs/>
          <w:color w:val="595959"/>
          <w:sz w:val="18"/>
          <w:szCs w:val="18"/>
        </w:rPr>
        <w:t xml:space="preserve">Sources: SquareYards/Kotak (Karnataka stamp duty and registration charges, Kaveri 2.0); MyPropertyPoint (NAREDCO stamp-duty reduction proposal).</w:t>
      </w:r>
    </w:p>
    <w:p>
      <w:pPr>
        <w:pStyle w:val="Heading1"/>
        <w:pBdr>
          <w:bottom w:val="single" w:color="1F3864" w:sz="12" w:space="4"/>
        </w:pBdr>
        <w:spacing w:after="150" w:before="400"/>
      </w:pPr>
      <w:r>
        <w:rPr>
          <w:b/>
          <w:bCs/>
          <w:color w:val="1F3864"/>
        </w:rPr>
        <w:t xml:space="preserve">Layer 2 — South India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Visakhapatnam has launched Andhra Pradesh's first in-situ slum redevelopment project at Lakshmi Nagar in Velampeta, where 177 families will receive new homes in a ₹28.44 crore Stilt+12-floor residential complex targeted for handover by June 2027.</w:t>
      </w:r>
    </w:p>
    <w:p>
      <w:pPr>
        <w:pStyle w:val="ListParagraph"/>
        <w:numPr>
          <w:ilvl w:val="0"/>
          <w:numId w:val="2"/>
        </w:numPr>
        <w:spacing w:after="80"/>
      </w:pPr>
      <w:r>
        <w:rPr>
          <w:b w:val="false"/>
          <w:bCs w:val="false"/>
        </w:rPr>
        <w:t xml:space="preserve">Vizag's residential market is projected to grow 6-10% in 2026, with North Vizag localities — Madhurawada, Kommadi, Paradesipalem, Boyapalem and Anandapuram — continuing to emerge as prime investment destinations.</w:t>
      </w:r>
    </w:p>
    <w:p>
      <w:pPr>
        <w:pStyle w:val="ListParagraph"/>
        <w:numPr>
          <w:ilvl w:val="0"/>
          <w:numId w:val="2"/>
        </w:numPr>
        <w:spacing w:after="80"/>
      </w:pPr>
      <w:r>
        <w:rPr>
          <w:b w:val="false"/>
          <w:bCs w:val="false"/>
        </w:rPr>
        <w:t xml:space="preserve">TGRERA has cautioned prospective buyers in Hyderabad's GO 111 areas that without a finalised master plan, the location of sewage treatment plants, roads and other facilities remains unclear.</w:t>
      </w:r>
    </w:p>
    <w:p>
      <w:pPr>
        <w:spacing w:after="150"/>
      </w:pPr>
      <w:r>
        <w:rPr>
          <w:i/>
          <w:iCs/>
          <w:color w:val="595959"/>
          <w:sz w:val="18"/>
          <w:szCs w:val="18"/>
        </w:rPr>
        <w:t xml:space="preserve">Sources: The South First (Velampeta slum redevelopment project); RP Realty Plus (Vizag 2026 growth, North Vizag hotspots); The Hans India (TGRERA GO 111 caution).</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Hilton has entered Visakhapatnam with the Hilton Garden Inn Visakhapatnam Yendada World Trade Centre, a 360-room hotel planned as part of Kapil Group's 10-acre mixed-use WTC Visakhapatnam development.</w:t>
      </w:r>
    </w:p>
    <w:p>
      <w:pPr>
        <w:pStyle w:val="ListParagraph"/>
        <w:numPr>
          <w:ilvl w:val="0"/>
          <w:numId w:val="2"/>
        </w:numPr>
        <w:spacing w:after="80"/>
      </w:pPr>
      <w:r>
        <w:rPr>
          <w:b w:val="false"/>
          <w:bCs w:val="false"/>
        </w:rPr>
        <w:t xml:space="preserve">Ganpati Group has announced an investment and development potential of roughly ₹2,000 crore across residential and hospitality projects in Visakhapatnam, including a 100-room business hotel marking its South India entry.</w:t>
      </w:r>
    </w:p>
    <w:p>
      <w:pPr>
        <w:pStyle w:val="ListParagraph"/>
        <w:numPr>
          <w:ilvl w:val="0"/>
          <w:numId w:val="2"/>
        </w:numPr>
        <w:spacing w:after="80"/>
      </w:pPr>
      <w:r>
        <w:rPr>
          <w:b w:val="false"/>
          <w:bCs w:val="false"/>
        </w:rPr>
        <w:t xml:space="preserve">Telangana builders are facing fire-NOC delays due to glitches in the Fire Department's Auto DCR system, with CREDAI members urging officials to fix the issues and run awareness drives to streamline applications.</w:t>
      </w:r>
    </w:p>
    <w:p>
      <w:pPr>
        <w:spacing w:after="150"/>
      </w:pPr>
      <w:r>
        <w:rPr>
          <w:i/>
          <w:iCs/>
          <w:color w:val="595959"/>
          <w:sz w:val="18"/>
          <w:szCs w:val="18"/>
        </w:rPr>
        <w:t xml:space="preserve">Sources: PropNewsTime (Hilton Visakhapatnam, Ganpati Group investment); The Hans India (Telangana fire-NOC Auto DCR issues).</w:t>
      </w:r>
    </w:p>
    <w:p>
      <w:pPr>
        <w:pStyle w:val="Heading2"/>
        <w:spacing w:after="100" w:before="200"/>
      </w:pPr>
      <w:r>
        <w:rPr>
          <w:b/>
          <w:bCs/>
          <w:color w:val="C00000"/>
        </w:rPr>
        <w:t xml:space="preserve">South India RERA &amp; CREDAI Updates</w:t>
      </w:r>
    </w:p>
    <w:p>
      <w:pPr>
        <w:pStyle w:val="ListParagraph"/>
        <w:numPr>
          <w:ilvl w:val="0"/>
          <w:numId w:val="2"/>
        </w:numPr>
        <w:spacing w:after="80"/>
      </w:pPr>
      <w:r>
        <w:rPr>
          <w:b w:val="false"/>
          <w:bCs w:val="false"/>
        </w:rPr>
        <w:t xml:space="preserve">CREDAI Hyderabad's Property Show 2026 drew a strong response at HITEX, reflecting continued developer and buyer engagement in the city's real estate market.</w:t>
      </w:r>
    </w:p>
    <w:p>
      <w:pPr>
        <w:pStyle w:val="ListParagraph"/>
        <w:numPr>
          <w:ilvl w:val="0"/>
          <w:numId w:val="2"/>
        </w:numPr>
        <w:spacing w:after="80"/>
      </w:pPr>
      <w:r>
        <w:rPr>
          <w:b w:val="false"/>
          <w:bCs w:val="false"/>
        </w:rPr>
        <w:t xml:space="preserve">CREDAI Telangana met with developers on 3 October 2026 to emphasise construction-site safety, dust and noise pollution control, and adherence to sanctioned building plans.</w:t>
      </w:r>
    </w:p>
    <w:p>
      <w:pPr>
        <w:pStyle w:val="ListParagraph"/>
        <w:numPr>
          <w:ilvl w:val="0"/>
          <w:numId w:val="2"/>
        </w:numPr>
        <w:spacing w:after="80"/>
      </w:pPr>
      <w:r>
        <w:rPr>
          <w:b w:val="false"/>
          <w:bCs w:val="false"/>
        </w:rPr>
        <w:t xml:space="preserve">CREDAI Telangana's newly elected Mancherial district chapter office bearers, led by chairman A Dinesh Kumar, were installed this month, reflecting continued organisational expansion across the state's district chapters.</w:t>
      </w:r>
    </w:p>
    <w:p>
      <w:pPr>
        <w:spacing w:after="150"/>
      </w:pPr>
      <w:r>
        <w:rPr>
          <w:i/>
          <w:iCs/>
          <w:color w:val="595959"/>
          <w:sz w:val="18"/>
          <w:szCs w:val="18"/>
        </w:rPr>
        <w:t xml:space="preserve">Sources: Telangana Today/The Hans India (CREDAI Hyderabad Property Show 2026); The Hans India (CREDAI developer safety meeting, 3 October); Telugu Times (CREDAI-Mancherial office bearers).</w:t>
      </w:r>
    </w:p>
    <w:p>
      <w:pPr>
        <w:pStyle w:val="Heading1"/>
        <w:pBdr>
          <w:bottom w:val="single" w:color="1F3864" w:sz="12" w:space="4"/>
        </w:pBdr>
        <w:spacing w:after="150" w:before="400"/>
      </w:pPr>
      <w:r>
        <w:rPr>
          <w:b/>
          <w:bCs/>
          <w:color w:val="1F3864"/>
        </w:rPr>
        <w:t xml:space="preserve">Layer 3 — National</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The value of homes sold across India's top seven cities rose 2% YoY to approximately ₹1.55 lakh crore in Q3 2026, even as unit sales growth moderated to 3%.</w:t>
      </w:r>
    </w:p>
    <w:p>
      <w:pPr>
        <w:pStyle w:val="ListParagraph"/>
        <w:numPr>
          <w:ilvl w:val="0"/>
          <w:numId w:val="2"/>
        </w:numPr>
        <w:spacing w:after="80"/>
      </w:pPr>
      <w:r>
        <w:rPr>
          <w:b w:val="false"/>
          <w:bCs w:val="false"/>
        </w:rPr>
        <w:t xml:space="preserve">Available housing inventory across the top seven cities increased 12% YoY to approximately 6.31 lakh units at the end of Q3 2026, reflecting a build-up even amid continued sales.</w:t>
      </w:r>
    </w:p>
    <w:p>
      <w:pPr>
        <w:pStyle w:val="ListParagraph"/>
        <w:numPr>
          <w:ilvl w:val="0"/>
          <w:numId w:val="2"/>
        </w:numPr>
        <w:spacing w:after="80"/>
      </w:pPr>
      <w:r>
        <w:rPr>
          <w:b w:val="false"/>
          <w:bCs w:val="false"/>
        </w:rPr>
        <w:t xml:space="preserve">New housing launches rose 18% YoY to 1,14,320 units in Q3 2026, with the Mumbai Metropolitan Region contributing the highest share of new supply nationally.</w:t>
      </w:r>
    </w:p>
    <w:p>
      <w:pPr>
        <w:spacing w:after="150"/>
      </w:pPr>
      <w:r>
        <w:rPr>
          <w:i/>
          <w:iCs/>
          <w:color w:val="595959"/>
          <w:sz w:val="18"/>
          <w:szCs w:val="18"/>
        </w:rPr>
        <w:t xml:space="preserve">Sources: Anarock via Zeebiz/PropNewsTime (Q3 2026 sales value, inventory and launch data).</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India's office leasing rose 7% YoY to 54.4 million sq ft in the January-September 2026 period, with Q3 2026 demand alone reaching 18.7 million sq ft.</w:t>
      </w:r>
    </w:p>
    <w:p>
      <w:pPr>
        <w:pStyle w:val="ListParagraph"/>
        <w:numPr>
          <w:ilvl w:val="0"/>
          <w:numId w:val="2"/>
        </w:numPr>
        <w:spacing w:after="80"/>
      </w:pPr>
      <w:r>
        <w:rPr>
          <w:b w:val="false"/>
          <w:bCs w:val="false"/>
        </w:rPr>
        <w:t xml:space="preserve">GCCs displayed accelerating momentum in H1 2026, with activity up 14.2% YoY and GCC leasing accounting for 41.7% of total H1 office leasing volumes nationally.</w:t>
      </w:r>
    </w:p>
    <w:p>
      <w:pPr>
        <w:pStyle w:val="ListParagraph"/>
        <w:numPr>
          <w:ilvl w:val="0"/>
          <w:numId w:val="2"/>
        </w:numPr>
        <w:spacing w:after="80"/>
      </w:pPr>
      <w:r>
        <w:rPr>
          <w:b w:val="false"/>
          <w:bCs w:val="false"/>
        </w:rPr>
        <w:t xml:space="preserve">Bengaluru, Pune, Delhi NCR and Mumbai together accounted for nearly 80% of total GCC leasing in H1 2026, with Bengaluru remaining the country's largest GCC market at 5.36 million sq ft.</w:t>
      </w:r>
    </w:p>
    <w:p>
      <w:pPr>
        <w:spacing w:after="150"/>
      </w:pPr>
      <w:r>
        <w:rPr>
          <w:i/>
          <w:iCs/>
          <w:color w:val="595959"/>
          <w:sz w:val="18"/>
          <w:szCs w:val="18"/>
        </w:rPr>
        <w:t xml:space="preserve">Sources: Outsource Accelerator/JLL (India office leasing Q3 2026, GCC share and city-wise leasing).</w:t>
      </w:r>
    </w:p>
    <w:p>
      <w:pPr>
        <w:pStyle w:val="Heading2"/>
        <w:spacing w:after="100" w:before="200"/>
      </w:pPr>
      <w:r>
        <w:rPr>
          <w:b/>
          <w:bCs/>
          <w:color w:val="C00000"/>
        </w:rPr>
        <w:t xml:space="preserve">National CREDAI &amp; RERA Updates</w:t>
      </w:r>
    </w:p>
    <w:p>
      <w:pPr>
        <w:pStyle w:val="ListParagraph"/>
        <w:numPr>
          <w:ilvl w:val="0"/>
          <w:numId w:val="2"/>
        </w:numPr>
        <w:spacing w:after="80"/>
      </w:pPr>
      <w:r>
        <w:rPr>
          <w:b w:val="false"/>
          <w:bCs w:val="false"/>
        </w:rPr>
        <w:t xml:space="preserve">CREDAI and NAREDCO are likely to flag the 12% YoY rise in unsold inventory across the top seven cities as a signal to watch even amid continued launch and sales growth.</w:t>
      </w:r>
    </w:p>
    <w:p>
      <w:pPr>
        <w:pStyle w:val="ListParagraph"/>
        <w:numPr>
          <w:ilvl w:val="0"/>
          <w:numId w:val="2"/>
        </w:numPr>
        <w:spacing w:after="80"/>
      </w:pPr>
      <w:r>
        <w:rPr>
          <w:b w:val="false"/>
          <w:bCs w:val="false"/>
        </w:rPr>
        <w:t xml:space="preserve">NAREDCO's continued push for reduced stamp duty on affordable-home registrations — 1% for women buyers, 3% for men — remains a live national advocacy priority heading into the festive season.</w:t>
      </w:r>
    </w:p>
    <w:p>
      <w:pPr>
        <w:pStyle w:val="ListParagraph"/>
        <w:numPr>
          <w:ilvl w:val="0"/>
          <w:numId w:val="2"/>
        </w:numPr>
        <w:spacing w:after="80"/>
      </w:pPr>
      <w:r>
        <w:rPr>
          <w:b w:val="false"/>
          <w:bCs w:val="false"/>
        </w:rPr>
        <w:t xml:space="preserve">Continued GCC-driven office leasing strength, now accounting for over 40% of H1 2026 volumes, reinforces CREDAI and NAREDCO's case for sustained institutional confidence in India's commercial real estate sector.</w:t>
      </w:r>
    </w:p>
    <w:p>
      <w:pPr>
        <w:spacing w:after="150"/>
      </w:pPr>
      <w:r>
        <w:rPr>
          <w:i/>
          <w:iCs/>
          <w:color w:val="595959"/>
          <w:sz w:val="18"/>
          <w:szCs w:val="18"/>
        </w:rPr>
        <w:t xml:space="preserve">Sources: Anarock via Zeebiz/PropNewsTime; MyPropertyPoint; Outsource Accelerator/JLL.</w:t>
      </w:r>
    </w:p>
    <w:p>
      <w:pPr>
        <w:pBdr>
          <w:top w:val="single" w:color="BFBFBF" w:sz="6" w:space="4"/>
        </w:pBdr>
        <w:spacing w:before="400"/>
      </w:pPr>
      <w:r>
        <w:rPr>
          <w:i/>
          <w:iCs/>
          <w:color w:val="595959"/>
          <w:sz w:val="16"/>
          <w:szCs w:val="16"/>
        </w:rPr>
        <w:t xml:space="preserve">Methodology note: This digest is compiled through web-based monitoring of real estate trade portals (ET Realty, Moneycontrol Real Estate/Property, Housing.com, Magicbricks, RealtyNXT, Realty Plus) and other business media, RERA authority orders/notices, and CREDAI communications. Some publisher sites restrict direct automated access; where that occurs, coverage is corroborated through secondary reporting and cited accordingly. Figures are the latest publicly available as of the digest date and should be independently verified before use in decision-making.</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2026-10-07T03:38:12.970Z</dcterms:created>
  <dcterms:modified xsi:type="dcterms:W3CDTF">2026-10-07T03:38:12.979Z</dcterms:modified>
</cp:coreProperties>
</file>

<file path=docProps/custom.xml><?xml version="1.0" encoding="utf-8"?>
<Properties xmlns="http://schemas.openxmlformats.org/officeDocument/2006/custom-properties" xmlns:vt="http://schemas.openxmlformats.org/officeDocument/2006/docPropsVTypes"/>
</file>