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23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led Q1 2026 housing sales momentum with 33% YoY growth, powered by GCC and startup hiring, as India's residential market entered a stable, demand-driven phase with nearly 96,000 homes sold across the top 8 cities.</w:t>
      </w:r>
    </w:p>
    <w:p>
      <w:pPr>
        <w:pStyle w:val="ListParagraph"/>
        <w:numPr>
          <w:ilvl w:val="0"/>
          <w:numId w:val="2"/>
        </w:numPr>
        <w:spacing w:after="80"/>
      </w:pPr>
      <w:r>
        <w:rPr>
          <w:b w:val="false"/>
          <w:bCs w:val="false"/>
        </w:rPr>
        <w:t xml:space="preserve">Bengaluru residential prices rose ~12–15% YoY to an average of ~₹7,388–7,500/sq ft in Q1 2026, pushing even modest 2BHK units in central locations beyond the ₹1 crore mark; over 42% of prospective Bengaluru homebuyers can no longer afford homes priced below ₹1 crore.</w:t>
      </w:r>
    </w:p>
    <w:p>
      <w:pPr>
        <w:pStyle w:val="ListParagraph"/>
        <w:numPr>
          <w:ilvl w:val="0"/>
          <w:numId w:val="2"/>
        </w:numPr>
        <w:spacing w:after="80"/>
      </w:pPr>
      <w:r>
        <w:rPr>
          <w:b w:val="false"/>
          <w:bCs w:val="false"/>
        </w:rPr>
        <w:t xml:space="preserve">Karnataka's ₹4.48 lakh crore state budget — funding tunnel roads and metro expansion — is expected to reshape Bengaluru's real estate map, with the North Bengaluru Devanahalli–Yelahanka–Thanisandra–Hebbal–Hennur belt now carrying the city's deepest upcoming project pipeline, driven by the airport, KIADB Aerospace Park and the Blue Line metro.</w:t>
      </w:r>
    </w:p>
    <w:p>
      <w:pPr>
        <w:pStyle w:val="ListParagraph"/>
        <w:numPr>
          <w:ilvl w:val="0"/>
          <w:numId w:val="2"/>
        </w:numPr>
        <w:spacing w:after="80"/>
      </w:pPr>
      <w:r>
        <w:rPr>
          <w:b w:val="false"/>
          <w:bCs w:val="false"/>
        </w:rPr>
        <w:t xml:space="preserve">Housing demand near Electronic City has risen 12% directly attributed to new metro access, while the airport metro corridor is fuelling appreciation in Hebbal, Yelahanka and Jakkur.</w:t>
      </w:r>
    </w:p>
    <w:p>
      <w:pPr>
        <w:spacing w:after="150"/>
      </w:pPr>
      <w:r>
        <w:rPr>
          <w:i/>
          <w:iCs/>
          <w:color w:val="595959"/>
          <w:sz w:val="18"/>
          <w:szCs w:val="18"/>
        </w:rPr>
        <w:t xml:space="preserve">Sources: Newkerala; BookNewProperty; Whalesbook; Proppy.ai; Tradebrains.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An integrated road-and-metro corridor along the Outer Ring Road — a ₹9,800 crore, 32.15 km joint venture between BBMP and BMRCL — is set to reshape connectivity for Bengaluru's IT-heavy ORR office corridor.</w:t>
      </w:r>
    </w:p>
    <w:p>
      <w:pPr>
        <w:pStyle w:val="ListParagraph"/>
        <w:numPr>
          <w:ilvl w:val="0"/>
          <w:numId w:val="2"/>
        </w:numPr>
        <w:spacing w:after="80"/>
      </w:pPr>
      <w:r>
        <w:rPr>
          <w:b w:val="false"/>
          <w:bCs w:val="false"/>
        </w:rPr>
        <w:t xml:space="preserve">The Bengaluru Suburban Rail Project, a ₹15,767 crore initiative led by K-RIDE, is expected to be completed in phases between 2026 and 2028, further easing access to peripheral commercial and industrial zones.</w:t>
      </w:r>
    </w:p>
    <w:p>
      <w:pPr>
        <w:pStyle w:val="ListParagraph"/>
        <w:numPr>
          <w:ilvl w:val="0"/>
          <w:numId w:val="2"/>
        </w:numPr>
        <w:spacing w:after="80"/>
      </w:pPr>
      <w:r>
        <w:rPr>
          <w:b w:val="false"/>
          <w:bCs w:val="false"/>
        </w:rPr>
        <w:t xml:space="preserve">Roughly 41 km of new Namma Metro lines (Phase 2 and 2A) are projected to open in 2026-27, with Whitefield and the Outer Ring Road IT corridor among the biggest beneficiaries.</w:t>
      </w:r>
    </w:p>
    <w:p>
      <w:pPr>
        <w:spacing w:after="150"/>
      </w:pPr>
      <w:r>
        <w:rPr>
          <w:i/>
          <w:iCs/>
          <w:color w:val="595959"/>
          <w:sz w:val="18"/>
          <w:szCs w:val="18"/>
        </w:rPr>
        <w:t xml:space="preserve">Sources: Tradebrains; NoBroker; AbheeVentures.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A Deccan Herald investigation finds that K-RERA orders "rarely translate into relief" for many Bengaluru homebuyers — enforcement gaps mean favourable rulings often go unimplemented, leaving buyers waiting years after a verdict.</w:t>
      </w:r>
    </w:p>
    <w:p>
      <w:pPr>
        <w:pStyle w:val="ListParagraph"/>
        <w:numPr>
          <w:ilvl w:val="0"/>
          <w:numId w:val="2"/>
        </w:numPr>
        <w:spacing w:after="80"/>
      </w:pPr>
      <w:r>
        <w:rPr>
          <w:b w:val="false"/>
          <w:bCs w:val="false"/>
        </w:rPr>
        <w:t xml:space="preserve">Coldwell Banker South India's 2026 K-RERA homebuyer guide highlights that the regulator's core mandate — mandatory project registration, escrow-based fund management and standardised sale agreements — remains the primary safeguard even as enforcement capacity lags.</w:t>
      </w:r>
    </w:p>
    <w:p>
      <w:pPr>
        <w:pStyle w:val="ListParagraph"/>
        <w:numPr>
          <w:ilvl w:val="0"/>
          <w:numId w:val="2"/>
        </w:numPr>
        <w:spacing w:after="80"/>
      </w:pPr>
      <w:r>
        <w:rPr>
          <w:b w:val="false"/>
          <w:bCs w:val="false"/>
        </w:rPr>
        <w:t xml:space="preserve">CREDAI Karnataka continues to position itself as a bridge between developers and regulators, per its member guidance materials, as the state works through the ongoing chairmanship vacancy at K-RERA.</w:t>
      </w:r>
    </w:p>
    <w:p>
      <w:pPr>
        <w:spacing w:after="150"/>
      </w:pPr>
      <w:r>
        <w:rPr>
          <w:i/>
          <w:iCs/>
          <w:color w:val="595959"/>
          <w:sz w:val="18"/>
          <w:szCs w:val="18"/>
        </w:rPr>
        <w:t xml:space="preserve">Sources: Deccan Herald; Coldwell Banker South India;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sales across India's top 7 cities in Q1 2026 remained heavily concentrated in Bengaluru, Mumbai, Pune and Delhi-NCR, which together captured ~77% of the 70,631 units sold — with Bengaluru among the strongest-performing southern markets.</w:t>
      </w:r>
    </w:p>
    <w:p>
      <w:pPr>
        <w:pStyle w:val="ListParagraph"/>
        <w:numPr>
          <w:ilvl w:val="0"/>
          <w:numId w:val="2"/>
        </w:numPr>
        <w:spacing w:after="80"/>
      </w:pPr>
      <w:r>
        <w:rPr>
          <w:b w:val="false"/>
          <w:bCs w:val="false"/>
        </w:rPr>
        <w:t xml:space="preserve">Hyderabad remains a magnet for larger-format, competitively priced homes relative to Bengaluru, even as its warehousing market (H2 2025 leasing of 1.71 million sq ft) points to broader real estate momentum across residential and industrial segments alike.</w:t>
      </w:r>
    </w:p>
    <w:p>
      <w:pPr>
        <w:pStyle w:val="ListParagraph"/>
        <w:numPr>
          <w:ilvl w:val="0"/>
          <w:numId w:val="2"/>
        </w:numPr>
        <w:spacing w:after="80"/>
      </w:pPr>
      <w:r>
        <w:rPr>
          <w:b w:val="false"/>
          <w:bCs w:val="false"/>
        </w:rPr>
        <w:t xml:space="preserve">Luxury housing (₹4 crore+) sales rose nearly 28% YoY across India's seven major cities in 2025, with homes priced ₹4–6 crore surging 85% YoY in H1 2025 — a trend South Indian metros including Chennai and Hyderabad have participated in via their expanding premium segments.</w:t>
      </w:r>
    </w:p>
    <w:p>
      <w:pPr>
        <w:spacing w:after="150"/>
      </w:pPr>
      <w:r>
        <w:rPr>
          <w:i/>
          <w:iCs/>
          <w:color w:val="595959"/>
          <w:sz w:val="18"/>
          <w:szCs w:val="18"/>
        </w:rPr>
        <w:t xml:space="preserve">Sources: BigNewsNetwork; JLL Residential Dynamics Report Q1 2026; Cushman &amp; Wakefield Hyderabad MarketBeat.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Delhi-NCR and Chennai retained their position as India's top industrial and warehousing markets in H1 2026, together accounting for more than 45% of the country's Grade A leasing activity, as total leasing across the top 8 cities rose 12% YoY to ~22 million sq ft.</w:t>
      </w:r>
    </w:p>
    <w:p>
      <w:pPr>
        <w:pStyle w:val="ListParagraph"/>
        <w:numPr>
          <w:ilvl w:val="0"/>
          <w:numId w:val="2"/>
        </w:numPr>
        <w:spacing w:after="80"/>
      </w:pPr>
      <w:r>
        <w:rPr>
          <w:b w:val="false"/>
          <w:bCs w:val="false"/>
        </w:rPr>
        <w:t xml:space="preserve">Hyderabad logged 1.71 million sq ft of warehousing leasing in H2 2025 (4.19 million sq ft annual absorption), led by E&amp;M (34%), 3PL (32%) and FMCG (10%) occupiers, with the Northern corridor (46%) and Southern corridor (27%) dominating leasing activity.</w:t>
      </w:r>
    </w:p>
    <w:p>
      <w:pPr>
        <w:pStyle w:val="ListParagraph"/>
        <w:numPr>
          <w:ilvl w:val="0"/>
          <w:numId w:val="2"/>
        </w:numPr>
        <w:spacing w:after="80"/>
      </w:pPr>
      <w:r>
        <w:rPr>
          <w:b w:val="false"/>
          <w:bCs w:val="false"/>
        </w:rPr>
        <w:t xml:space="preserve">India's warehouse vacancy has hit a record low as industrial and warehousing demand rose 63% YoY to a record high in Jan–Jun 2026 per CBRE — underscoring how tight South India's logistics corridors, including Chennai's, have become.</w:t>
      </w:r>
    </w:p>
    <w:p>
      <w:pPr>
        <w:spacing w:after="150"/>
      </w:pPr>
      <w:r>
        <w:rPr>
          <w:i/>
          <w:iCs/>
          <w:color w:val="595959"/>
          <w:sz w:val="18"/>
          <w:szCs w:val="18"/>
        </w:rPr>
        <w:t xml:space="preserve">Sources: Webnewswire (Colliers); Cushman &amp; Wakefield Hyderabad MarketBeat; Business Standard/CBRE.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held its STATECON 2026 event on 3–4 July, billed as the biggest real estate sector gathering in the state, hosted by CREDAI Calicut.</w:t>
      </w:r>
    </w:p>
    <w:p>
      <w:pPr>
        <w:pStyle w:val="ListParagraph"/>
        <w:numPr>
          <w:ilvl w:val="0"/>
          <w:numId w:val="2"/>
        </w:numPr>
        <w:spacing w:after="80"/>
      </w:pPr>
      <w:r>
        <w:rPr>
          <w:b w:val="false"/>
          <w:bCs w:val="false"/>
        </w:rPr>
        <w:t xml:space="preserve">CREDAI continues to run regional Statecon-format events across South India — following the template of Telangana's Statecon, held in partnership with CBRE — bringing together developers, regulators and industry bodies at the state level.</w:t>
      </w:r>
    </w:p>
    <w:p>
      <w:pPr>
        <w:pStyle w:val="ListParagraph"/>
        <w:numPr>
          <w:ilvl w:val="0"/>
          <w:numId w:val="2"/>
        </w:numPr>
        <w:spacing w:after="80"/>
      </w:pPr>
      <w:r>
        <w:rPr>
          <w:b w:val="false"/>
          <w:bCs w:val="false"/>
        </w:rPr>
        <w:t xml:space="preserve">K-RERA's ongoing enforcement gaps (see Layer 1) are being watched closely by neighbouring South Indian RERAs, as several states weigh similar recovery-officer and escrow-enforcement reforms.</w:t>
      </w:r>
    </w:p>
    <w:p>
      <w:pPr>
        <w:spacing w:after="150"/>
      </w:pPr>
      <w:r>
        <w:rPr>
          <w:i/>
          <w:iCs/>
          <w:color w:val="595959"/>
          <w:sz w:val="18"/>
          <w:szCs w:val="18"/>
        </w:rPr>
        <w:t xml:space="preserve">Sources: CREDAI Calicut (Facebook); CBRE India Events;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residential market entered a stable, demand-driven phase in Q1 2026, with nearly 96,000 homes sold across the top 8 cities; average housing prices nationally crossed the ₹10,000/sq ft mark for the first time, reaching ₹10,050/sq ft on continued demand for premium projects.</w:t>
      </w:r>
    </w:p>
    <w:p>
      <w:pPr>
        <w:pStyle w:val="ListParagraph"/>
        <w:numPr>
          <w:ilvl w:val="0"/>
          <w:numId w:val="2"/>
        </w:numPr>
        <w:spacing w:after="80"/>
      </w:pPr>
      <w:r>
        <w:rPr>
          <w:b w:val="false"/>
          <w:bCs w:val="false"/>
        </w:rPr>
        <w:t xml:space="preserve">Housing sales across the top 7 cities in Q1 2026 remained concentrated in Bengaluru, Mumbai, Pune and Delhi-NCR, which together captured ~77% of the 70,631 units sold in the quarter.</w:t>
      </w:r>
    </w:p>
    <w:p>
      <w:pPr>
        <w:pStyle w:val="ListParagraph"/>
        <w:numPr>
          <w:ilvl w:val="0"/>
          <w:numId w:val="2"/>
        </w:numPr>
        <w:spacing w:after="80"/>
      </w:pPr>
      <w:r>
        <w:rPr>
          <w:b w:val="false"/>
          <w:bCs w:val="false"/>
        </w:rPr>
        <w:t xml:space="preserve">Buyer preferences continue to shift toward larger, premium homes: 36% of buyers now prefer properties priced ₹90 lakh–1.5 crore, up from just 18% before Covid-19; luxury home sales (₹4 crore+) rose nearly 28% YoY across seven major cities in 2025.</w:t>
      </w:r>
    </w:p>
    <w:p>
      <w:pPr>
        <w:spacing w:after="150"/>
      </w:pPr>
      <w:r>
        <w:rPr>
          <w:i/>
          <w:iCs/>
          <w:color w:val="595959"/>
          <w:sz w:val="18"/>
          <w:szCs w:val="18"/>
        </w:rPr>
        <w:t xml:space="preserve">Sources: Newkerala; JLL Residential Dynamics Report Q1 2026; BigNewsNetwork.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industrial and warehousing demand rose 63% YoY to a record high in January–June 2026 per CBRE, with the country's warehouse vacancy rate hitting a record low as supply struggles to keep pace.</w:t>
      </w:r>
    </w:p>
    <w:p>
      <w:pPr>
        <w:pStyle w:val="ListParagraph"/>
        <w:numPr>
          <w:ilvl w:val="0"/>
          <w:numId w:val="2"/>
        </w:numPr>
        <w:spacing w:after="80"/>
      </w:pPr>
      <w:r>
        <w:rPr>
          <w:b w:val="false"/>
          <w:bCs w:val="false"/>
        </w:rPr>
        <w:t xml:space="preserve">Total industrial and warehousing leasing across the top 8 cities reached ~22 million sq ft in H1 2026 (+12% YoY), with Delhi-NCR and Chennai together accounting for over 45% of Grade A leasing activity.</w:t>
      </w:r>
    </w:p>
    <w:p>
      <w:pPr>
        <w:pStyle w:val="ListParagraph"/>
        <w:numPr>
          <w:ilvl w:val="0"/>
          <w:numId w:val="2"/>
        </w:numPr>
        <w:spacing w:after="80"/>
      </w:pPr>
      <w:r>
        <w:rPr>
          <w:b w:val="false"/>
          <w:bCs w:val="false"/>
        </w:rPr>
        <w:t xml:space="preserve">India's Grade-A industrial and warehousing supply is projected to reach 45–50 million sq ft by end-2026, supported by a strong development pipeline, investor confidence, expanding domestic manufacturing and moderating global headwinds.</w:t>
      </w:r>
    </w:p>
    <w:p>
      <w:pPr>
        <w:spacing w:after="150"/>
      </w:pPr>
      <w:r>
        <w:rPr>
          <w:i/>
          <w:iCs/>
          <w:color w:val="595959"/>
          <w:sz w:val="18"/>
          <w:szCs w:val="18"/>
        </w:rPr>
        <w:t xml:space="preserve">Sources: Business Standard/CBRE; Webnewswire (Colliers); Newkerala.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continues to expand its state-level Statecon event format nationally — following Kerala's STATECON 2026 (3–4 July) and Telangana's earlier Statecon — as part of its push to strengthen state-level developer-regulator engagement.</w:t>
      </w:r>
    </w:p>
    <w:p>
      <w:pPr>
        <w:pStyle w:val="ListParagraph"/>
        <w:numPr>
          <w:ilvl w:val="0"/>
          <w:numId w:val="2"/>
        </w:numPr>
        <w:spacing w:after="80"/>
      </w:pPr>
      <w:r>
        <w:rPr>
          <w:b w:val="false"/>
          <w:bCs w:val="false"/>
        </w:rPr>
        <w:t xml:space="preserve">RERA-driven reforms remain a live national conversation, with legal experts continuing to welcome K-RERA's recent 90-day builder-accountability ruling as a template other state RERAs may look to for reinforcing homebuyer rights nationally.</w:t>
      </w:r>
    </w:p>
    <w:p>
      <w:pPr>
        <w:pStyle w:val="ListParagraph"/>
        <w:numPr>
          <w:ilvl w:val="0"/>
          <w:numId w:val="2"/>
        </w:numPr>
        <w:spacing w:after="80"/>
      </w:pPr>
      <w:r>
        <w:rPr>
          <w:b w:val="false"/>
          <w:bCs w:val="false"/>
        </w:rPr>
        <w:t xml:space="preserve">CREDAI's national policy engagement continues to centre on its Union Budget 2026-27 asks — including the revised affordable-housing definition and RERA procedural reforms — as the sector awaits government response through the rest of 2026.</w:t>
      </w:r>
    </w:p>
    <w:p>
      <w:pPr>
        <w:spacing w:after="150"/>
      </w:pPr>
      <w:r>
        <w:rPr>
          <w:i/>
          <w:iCs/>
          <w:color w:val="595959"/>
          <w:sz w:val="18"/>
          <w:szCs w:val="18"/>
        </w:rPr>
        <w:t xml:space="preserve">Sources: Pune Pulse; Business Standard; CREDAI (credai.org).</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2026-07-23T03:40:50.396Z</dcterms:created>
  <dcterms:modified xsi:type="dcterms:W3CDTF">2026-07-23T03:40:50.413Z</dcterms:modified>
</cp:coreProperties>
</file>

<file path=docProps/custom.xml><?xml version="1.0" encoding="utf-8"?>
<Properties xmlns="http://schemas.openxmlformats.org/officeDocument/2006/custom-properties" xmlns:vt="http://schemas.openxmlformats.org/officeDocument/2006/docPropsVTypes"/>
</file>