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27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Average housing prices in Bengaluru rose 24% YoY to ~₹9,785/sq ft in Q1 2026, making it the second most expensive market in India after the Mumbai Metropolitan Region; a further 10–12% increase is expected through 2026 on sustained demand, infrastructure expansion and limited supply.</w:t>
      </w:r>
    </w:p>
    <w:p>
      <w:pPr>
        <w:pStyle w:val="ListParagraph"/>
        <w:numPr>
          <w:ilvl w:val="0"/>
          <w:numId w:val="2"/>
        </w:numPr>
        <w:spacing w:after="80"/>
      </w:pPr>
      <w:r>
        <w:rPr>
          <w:b w:val="false"/>
          <w:bCs w:val="false"/>
        </w:rPr>
        <w:t xml:space="preserve">Bengaluru recorded 12,544 residential launches in Q2 2026, with the South submarket leading at a 38% share (Electronic City, Bannerghatta Road, Kanakapura Road).</w:t>
      </w:r>
    </w:p>
    <w:p>
      <w:pPr>
        <w:pStyle w:val="ListParagraph"/>
        <w:numPr>
          <w:ilvl w:val="0"/>
          <w:numId w:val="2"/>
        </w:numPr>
        <w:spacing w:after="80"/>
      </w:pPr>
      <w:r>
        <w:rPr>
          <w:b w:val="false"/>
          <w:bCs w:val="false"/>
        </w:rPr>
        <w:t xml:space="preserve">Metro Phase 3 is projected to lift property values by up to 30% along its corridors, while the Peripheral Ring Road is expected to unlock connectivity and real estate potential in the northeast.</w:t>
      </w:r>
    </w:p>
    <w:p>
      <w:pPr>
        <w:spacing w:after="150"/>
      </w:pPr>
      <w:r>
        <w:rPr>
          <w:i/>
          <w:iCs/>
          <w:color w:val="595959"/>
          <w:sz w:val="18"/>
          <w:szCs w:val="18"/>
        </w:rPr>
        <w:t xml:space="preserve">Sources: LatestLY; Cushman &amp; Wakefield Bengaluru MarketBeat; NewsFirst Prime.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continued to lead India's commercial property market in H1 2026, with companies leasing 14.1 million sq ft.</w:t>
      </w:r>
    </w:p>
    <w:p>
      <w:pPr>
        <w:pStyle w:val="ListParagraph"/>
        <w:numPr>
          <w:ilvl w:val="0"/>
          <w:numId w:val="2"/>
        </w:numPr>
        <w:spacing w:after="80"/>
      </w:pPr>
      <w:r>
        <w:rPr>
          <w:b w:val="false"/>
          <w:bCs w:val="false"/>
        </w:rPr>
        <w:t xml:space="preserve">Bengaluru's retail leasing reached ~0.25 million sq ft in Q2 2026 (+19% QoQ, +42% YoY), with main streets — Indiranagar, Brigade Road, Koramangala, Sarjapur Road — commanding a 68% share.</w:t>
      </w:r>
    </w:p>
    <w:p>
      <w:pPr>
        <w:pStyle w:val="ListParagraph"/>
        <w:numPr>
          <w:ilvl w:val="0"/>
          <w:numId w:val="2"/>
        </w:numPr>
        <w:spacing w:after="80"/>
      </w:pPr>
      <w:r>
        <w:rPr>
          <w:b w:val="false"/>
          <w:bCs w:val="false"/>
        </w:rPr>
        <w:t xml:space="preserve">Construction costs are projected to rise 3–5% across all asset classes nationally in 2026, a trend that will bear directly on Bengaluru's ongoing commercial and residential development pipeline.</w:t>
      </w:r>
    </w:p>
    <w:p>
      <w:pPr>
        <w:spacing w:after="150"/>
      </w:pPr>
      <w:r>
        <w:rPr>
          <w:i/>
          <w:iCs/>
          <w:color w:val="595959"/>
          <w:sz w:val="18"/>
          <w:szCs w:val="18"/>
        </w:rPr>
        <w:t xml:space="preserve">Sources: Cushman &amp; Wakefield Bengaluru MarketBeat; Business Standard.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ordered developers Surya Homes and Bagpack Suites Bangalore Pvt Ltd to pay a homebuyer ₹12 lakh annually as "loss of rent" for withholding possession after the sale deed was registered and full payment made, plus ₹2 lakh in compensation for "mental agony" — a new precedent-setting order on rent-loss compensation.</w:t>
      </w:r>
    </w:p>
    <w:p>
      <w:pPr>
        <w:pStyle w:val="ListParagraph"/>
        <w:numPr>
          <w:ilvl w:val="0"/>
          <w:numId w:val="2"/>
        </w:numPr>
        <w:spacing w:after="80"/>
      </w:pPr>
      <w:r>
        <w:rPr>
          <w:b w:val="false"/>
          <w:bCs w:val="false"/>
        </w:rPr>
        <w:t xml:space="preserve">This ruling adds to a growing body of K-RERA orders — including April 2026's villa-handover case (~₹70 lakh interest) — that legal experts say are reinforcing homebuyer rights against builder non-performance and delay.</w:t>
      </w:r>
    </w:p>
    <w:p>
      <w:pPr>
        <w:pStyle w:val="ListParagraph"/>
        <w:numPr>
          <w:ilvl w:val="0"/>
          <w:numId w:val="2"/>
        </w:numPr>
        <w:spacing w:after="80"/>
      </w:pPr>
      <w:r>
        <w:rPr>
          <w:b w:val="false"/>
          <w:bCs w:val="false"/>
        </w:rPr>
        <w:t xml:space="preserve">CREDAI Karnataka continues to push the state government on regulatory and approval-process reforms even as K-RERA's enforcement caseload grows.</w:t>
      </w:r>
    </w:p>
    <w:p>
      <w:pPr>
        <w:spacing w:after="150"/>
      </w:pPr>
      <w:r>
        <w:rPr>
          <w:i/>
          <w:iCs/>
          <w:color w:val="595959"/>
          <w:sz w:val="18"/>
          <w:szCs w:val="18"/>
        </w:rPr>
        <w:t xml:space="preserve">Sources: NewsFirst Prime; Deccan Herald; Pune Pulse.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recorded 9,126 residential launches in Q1 2026, led by the West zone (65% share, anchored by the Financial District and Nanakramguda) and the North zone (19%, anchored by Balanagar).</w:t>
      </w:r>
    </w:p>
    <w:p>
      <w:pPr>
        <w:pStyle w:val="ListParagraph"/>
        <w:numPr>
          <w:ilvl w:val="0"/>
          <w:numId w:val="2"/>
        </w:numPr>
        <w:spacing w:after="80"/>
      </w:pPr>
      <w:r>
        <w:rPr>
          <w:b w:val="false"/>
          <w:bCs w:val="false"/>
        </w:rPr>
        <w:t xml:space="preserve">Hyderabad's residential registrations reached 6,179 units worth ₹4,139 crore in February 2026, reflecting continued steady demand and rising average prices.</w:t>
      </w:r>
    </w:p>
    <w:p>
      <w:pPr>
        <w:pStyle w:val="ListParagraph"/>
        <w:numPr>
          <w:ilvl w:val="0"/>
          <w:numId w:val="2"/>
        </w:numPr>
        <w:spacing w:after="80"/>
      </w:pPr>
      <w:r>
        <w:rPr>
          <w:b w:val="false"/>
          <w:bCs w:val="false"/>
        </w:rPr>
        <w:t xml:space="preserve">Hyderabad's residential sales grew 53% YoY to 17,658 units in the July–September period (from 11,564 units a year earlier), while Chennai's more than doubled to 7,862 units in the same period (from 3,560).</w:t>
      </w:r>
    </w:p>
    <w:p>
      <w:pPr>
        <w:spacing w:after="150"/>
      </w:pPr>
      <w:r>
        <w:rPr>
          <w:i/>
          <w:iCs/>
          <w:color w:val="595959"/>
          <w:sz w:val="18"/>
          <w:szCs w:val="18"/>
        </w:rPr>
        <w:t xml:space="preserve">Sources: Charan Group; Business Standard/PropTiger.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Telangana is planning a ₹4 lakh crore Hyderabad mobility programme through 2050 — including metro rail expansion, new roads and BRTS corridors — intended to support the city's continued residential and commercial growth.</w:t>
      </w:r>
    </w:p>
    <w:p>
      <w:pPr>
        <w:pStyle w:val="ListParagraph"/>
        <w:numPr>
          <w:ilvl w:val="0"/>
          <w:numId w:val="2"/>
        </w:numPr>
        <w:spacing w:after="80"/>
      </w:pPr>
      <w:r>
        <w:rPr>
          <w:b w:val="false"/>
          <w:bCs w:val="false"/>
        </w:rPr>
        <w:t xml:space="preserve">Continued metro expansion and infrastructure upgrades are expected to support residential and commercial demand across Chennai in the coming years.</w:t>
      </w:r>
    </w:p>
    <w:p>
      <w:pPr>
        <w:pStyle w:val="ListParagraph"/>
        <w:numPr>
          <w:ilvl w:val="0"/>
          <w:numId w:val="2"/>
        </w:numPr>
        <w:spacing w:after="80"/>
      </w:pPr>
      <w:r>
        <w:rPr>
          <w:b w:val="false"/>
          <w:bCs w:val="false"/>
        </w:rPr>
        <w:t xml:space="preserve">Both Hyderabad and Chennai continue to post stronger growth momentum than several other major Indian real estate markets, per market commentary tracking city-level growth trajectories.</w:t>
      </w:r>
    </w:p>
    <w:p>
      <w:pPr>
        <w:spacing w:after="150"/>
      </w:pPr>
      <w:r>
        <w:rPr>
          <w:i/>
          <w:iCs/>
          <w:color w:val="595959"/>
          <w:sz w:val="18"/>
          <w:szCs w:val="18"/>
        </w:rPr>
        <w:t xml:space="preserve">Sources: Charan Group; ValueRealitty.</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has urged homebuyers to invest under the banner "Rate Aagadhu – Demand Thaggadhu" ("Prices won't fall, demand won't drop"), tied to its Hyderabad Property Show 2026 (28–30 August, HITEX), signalling confidence in continued South Indian housing demand.</w:t>
      </w:r>
    </w:p>
    <w:p>
      <w:pPr>
        <w:pStyle w:val="ListParagraph"/>
        <w:numPr>
          <w:ilvl w:val="0"/>
          <w:numId w:val="2"/>
        </w:numPr>
        <w:spacing w:after="80"/>
      </w:pPr>
      <w:r>
        <w:rPr>
          <w:b w:val="false"/>
          <w:bCs w:val="false"/>
        </w:rPr>
        <w:t xml:space="preserve">CREDAI expects good residential absorption over the next 6–9 months nationally, with property markets across metros — including South Indian cities — showing continued improvement.</w:t>
      </w:r>
    </w:p>
    <w:p>
      <w:pPr>
        <w:pStyle w:val="ListParagraph"/>
        <w:numPr>
          <w:ilvl w:val="0"/>
          <w:numId w:val="2"/>
        </w:numPr>
        <w:spacing w:after="80"/>
      </w:pPr>
      <w:r>
        <w:rPr>
          <w:b w:val="false"/>
          <w:bCs w:val="false"/>
        </w:rPr>
        <w:t xml:space="preserve">Regulatory frameworks like RERA continue to be positioned as central to protecting homebuyers and improving construction quality across South India's fast-growing residential markets.</w:t>
      </w:r>
    </w:p>
    <w:p>
      <w:pPr>
        <w:spacing w:after="150"/>
      </w:pPr>
      <w:r>
        <w:rPr>
          <w:i/>
          <w:iCs/>
          <w:color w:val="595959"/>
          <w:sz w:val="18"/>
          <w:szCs w:val="18"/>
        </w:rPr>
        <w:t xml:space="preserve">Sources: The Hans India; Business Standard; RERA.news.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Construction costs are projected to rise 3–5% across all asset classes nationally in 2026, a factor likely to feed into new-launch pricing across major cities including in South India.</w:t>
      </w:r>
    </w:p>
    <w:p>
      <w:pPr>
        <w:pStyle w:val="ListParagraph"/>
        <w:numPr>
          <w:ilvl w:val="0"/>
          <w:numId w:val="2"/>
        </w:numPr>
        <w:spacing w:after="80"/>
      </w:pPr>
      <w:r>
        <w:rPr>
          <w:b w:val="false"/>
          <w:bCs w:val="false"/>
        </w:rPr>
        <w:t xml:space="preserve">CREDAI expects good residential absorption nationally over the next 6–9 months, with property markets across metros continuing to look up.</w:t>
      </w:r>
    </w:p>
    <w:p>
      <w:pPr>
        <w:pStyle w:val="ListParagraph"/>
        <w:numPr>
          <w:ilvl w:val="0"/>
          <w:numId w:val="2"/>
        </w:numPr>
        <w:spacing w:after="80"/>
      </w:pPr>
      <w:r>
        <w:rPr>
          <w:b w:val="false"/>
          <w:bCs w:val="false"/>
        </w:rPr>
        <w:t xml:space="preserve">Hyderabad and Chennai's residential sales momentum (up 53% and doubling respectively in a recent quarter) reflects a broader national resilience in housing demand even as some markets show more measured growth.</w:t>
      </w:r>
    </w:p>
    <w:p>
      <w:pPr>
        <w:spacing w:after="150"/>
      </w:pPr>
      <w:r>
        <w:rPr>
          <w:i/>
          <w:iCs/>
          <w:color w:val="595959"/>
          <w:sz w:val="18"/>
          <w:szCs w:val="18"/>
        </w:rPr>
        <w:t xml:space="preserve">Sources: Business Standard; Business Standard/PropTiger.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led India's commercial property market in H1 2026 with 14.1 million sq ft leased, part of a broader national trend of strong office and retail leasing activity across major cities.</w:t>
      </w:r>
    </w:p>
    <w:p>
      <w:pPr>
        <w:pStyle w:val="ListParagraph"/>
        <w:numPr>
          <w:ilvl w:val="0"/>
          <w:numId w:val="2"/>
        </w:numPr>
        <w:spacing w:after="80"/>
      </w:pPr>
      <w:r>
        <w:rPr>
          <w:b w:val="false"/>
          <w:bCs w:val="false"/>
        </w:rPr>
        <w:t xml:space="preserve">Construction cost inflation of 3–5% projected for 2026 is expected to affect commercial and industrial development costs nationally, alongside residential.</w:t>
      </w:r>
    </w:p>
    <w:p>
      <w:pPr>
        <w:pStyle w:val="ListParagraph"/>
        <w:numPr>
          <w:ilvl w:val="0"/>
          <w:numId w:val="2"/>
        </w:numPr>
        <w:spacing w:after="80"/>
      </w:pPr>
      <w:r>
        <w:rPr>
          <w:b w:val="false"/>
          <w:bCs w:val="false"/>
        </w:rPr>
        <w:t xml:space="preserve">Retail leasing trends — such as Bengaluru's 42% YoY main-street leasing growth — point to a broader national recovery in high-street and mall-based retail real estate demand.</w:t>
      </w:r>
    </w:p>
    <w:p>
      <w:pPr>
        <w:spacing w:after="150"/>
      </w:pPr>
      <w:r>
        <w:rPr>
          <w:i/>
          <w:iCs/>
          <w:color w:val="595959"/>
          <w:sz w:val="18"/>
          <w:szCs w:val="18"/>
        </w:rPr>
        <w:t xml:space="preserve">Sources: Cushman &amp; Wakefield Bengaluru MarketBeat; Business Standard.</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MahaRERA has formally recognised seven Self-Regulatory Organisations — including NAREDCO West Foundation, CREDAI-MCHI, CREDAI Maharashtra, Builders Association of India, Marathi Bandhkam Vyavsayik Association, Brihanmumbai Developer Association and CREDAI-Pune Metro — a governance innovation that could be replicated by other state RERAs nationally.</w:t>
      </w:r>
    </w:p>
    <w:p>
      <w:pPr>
        <w:pStyle w:val="ListParagraph"/>
        <w:numPr>
          <w:ilvl w:val="0"/>
          <w:numId w:val="2"/>
        </w:numPr>
        <w:spacing w:after="80"/>
      </w:pPr>
      <w:r>
        <w:rPr>
          <w:b w:val="false"/>
          <w:bCs w:val="false"/>
        </w:rPr>
        <w:t xml:space="preserve">Union Home Minister Amit Shah has previously described the real estate sector as central to India's Viksit Bharat vision at a CREDAI conference, underscoring the sector's continued national policy importance.</w:t>
      </w:r>
    </w:p>
    <w:p>
      <w:pPr>
        <w:pStyle w:val="ListParagraph"/>
        <w:numPr>
          <w:ilvl w:val="0"/>
          <w:numId w:val="2"/>
        </w:numPr>
        <w:spacing w:after="80"/>
      </w:pPr>
      <w:r>
        <w:rPr>
          <w:b w:val="false"/>
          <w:bCs w:val="false"/>
        </w:rPr>
        <w:t xml:space="preserve">CREDAI continues to advocate for single-window clearance of projects nationally, as realtors in states like Punjab and Haryana echo similar demands for faster regulatory approvals.</w:t>
      </w:r>
    </w:p>
    <w:p>
      <w:pPr>
        <w:spacing w:after="150"/>
      </w:pPr>
      <w:r>
        <w:rPr>
          <w:i/>
          <w:iCs/>
          <w:color w:val="595959"/>
          <w:sz w:val="18"/>
          <w:szCs w:val="18"/>
        </w:rPr>
        <w:t xml:space="preserve">Sources: Business Standard/MahaRERA; DD News; Tribune News Service.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2026-07-27T03:40:23.843Z</dcterms:created>
  <dcterms:modified xsi:type="dcterms:W3CDTF">2026-07-27T03:40:23.861Z</dcterms:modified>
</cp:coreProperties>
</file>

<file path=docProps/custom.xml><?xml version="1.0" encoding="utf-8"?>
<Properties xmlns="http://schemas.openxmlformats.org/officeDocument/2006/custom-properties" xmlns:vt="http://schemas.openxmlformats.org/officeDocument/2006/docPropsVTypes"/>
</file>