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11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12,544 residential launches in Q2 2026, up a moderate 4% YoY, even as unsold inventory reached roughly 84,000 units by end-June — crossing Mumbai's level for the first time and giving the city India's second-highest inventory overhang.</w:t>
      </w:r>
    </w:p>
    <w:p>
      <w:pPr>
        <w:pStyle w:val="ListParagraph"/>
        <w:numPr>
          <w:ilvl w:val="0"/>
          <w:numId w:val="2"/>
        </w:numPr>
        <w:spacing w:after="80"/>
      </w:pPr>
      <w:r>
        <w:rPr>
          <w:b w:val="false"/>
          <w:bCs w:val="false"/>
        </w:rPr>
        <w:t xml:space="preserve">Mana Projects has launched its "Freedom Month 2026" campaign to mark India's 80th Independence Day, offering homebuyers who book between 5–31 August travel vouchers equivalent to 80 days of staycations across India.</w:t>
      </w:r>
    </w:p>
    <w:p>
      <w:pPr>
        <w:pStyle w:val="ListParagraph"/>
        <w:numPr>
          <w:ilvl w:val="0"/>
          <w:numId w:val="2"/>
        </w:numPr>
        <w:spacing w:after="80"/>
      </w:pPr>
      <w:r>
        <w:rPr>
          <w:b w:val="false"/>
          <w:bCs w:val="false"/>
        </w:rPr>
        <w:t xml:space="preserve">Bengaluru's retail leasing rose 19% QoQ and 42% YoY to ~0.25 million sq ft in Q2 2026, with main-street retail commanding a 68% share on strong activity in Indiranagar, Brigade Road, Koramangala and Sarjapur Road — a sign of continued consumer-facing real estate momentum alongside residential demand.</w:t>
      </w:r>
    </w:p>
    <w:p>
      <w:pPr>
        <w:spacing w:after="150"/>
      </w:pPr>
      <w:r>
        <w:rPr>
          <w:i/>
          <w:iCs/>
          <w:color w:val="595959"/>
          <w:sz w:val="18"/>
          <w:szCs w:val="18"/>
        </w:rPr>
        <w:t xml:space="preserve">Sources: PropNewsTime/NoBroker Times (Q2 2026 residential &amp; inventory); Mana Projects press release (Freedom Month campaign); Cushman &amp; Wakefield Bengaluru MarketBeat (retail leasing).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gross office leasing fell 21% YoY in H1 2026 to 9.37 million sq ft (from 11.79 million sq ft a year earlier), as corporates delayed decisions amid geopolitical uncertainty and AI-led business transformation.</w:t>
      </w:r>
    </w:p>
    <w:p>
      <w:pPr>
        <w:pStyle w:val="ListParagraph"/>
        <w:numPr>
          <w:ilvl w:val="0"/>
          <w:numId w:val="2"/>
        </w:numPr>
        <w:spacing w:after="80"/>
      </w:pPr>
      <w:r>
        <w:rPr>
          <w:b w:val="false"/>
          <w:bCs w:val="false"/>
        </w:rPr>
        <w:t xml:space="preserve">Global Capability Centres remained the principal driver of Bengaluru's office demand even amid the slowdown, accounting for 41.7% of total H1 2026 leasing activity.</w:t>
      </w:r>
    </w:p>
    <w:p>
      <w:pPr>
        <w:pStyle w:val="ListParagraph"/>
        <w:numPr>
          <w:ilvl w:val="0"/>
          <w:numId w:val="2"/>
        </w:numPr>
        <w:spacing w:after="80"/>
      </w:pPr>
      <w:r>
        <w:rPr>
          <w:b w:val="false"/>
          <w:bCs w:val="false"/>
        </w:rPr>
        <w:t xml:space="preserve">Retail leasing bucked the office-market softness, rising 42% YoY in Q2 2026 on strong main-street demand — underscoring a bifurcated commercial real estate picture in the city this year.</w:t>
      </w:r>
    </w:p>
    <w:p>
      <w:pPr>
        <w:spacing w:after="150"/>
      </w:pPr>
      <w:r>
        <w:rPr>
          <w:i/>
          <w:iCs/>
          <w:color w:val="595959"/>
          <w:sz w:val="18"/>
          <w:szCs w:val="18"/>
        </w:rPr>
        <w:t xml:space="preserve">Sources: Cushman &amp; Wakefield Bengaluru MarketBeat (H1 2026 office leasing, GCC share, retail).</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 has introduced digital e-stamping under the Karnataka Stamp (Digital e-Stamp) Rules, 2025, letting buyers generate stamp certificates entirely online without a bank visit — part of the state's wider digitisation push alongside Kaveri 2.0 and e-Khata.</w:t>
      </w:r>
    </w:p>
    <w:p>
      <w:pPr>
        <w:pStyle w:val="ListParagraph"/>
        <w:numPr>
          <w:ilvl w:val="0"/>
          <w:numId w:val="2"/>
        </w:numPr>
        <w:spacing w:after="80"/>
      </w:pPr>
      <w:r>
        <w:rPr>
          <w:b w:val="false"/>
          <w:bCs w:val="false"/>
        </w:rPr>
        <w:t xml:space="preserve">Total statutory transaction costs for Bengaluru homebuyers now run roughly 7–8% of property value (stamp duty plus the doubled 2% registration fee), a meaningful addition to the overall cost of buying a home in the city.</w:t>
      </w:r>
    </w:p>
    <w:p>
      <w:pPr>
        <w:pStyle w:val="ListParagraph"/>
        <w:numPr>
          <w:ilvl w:val="0"/>
          <w:numId w:val="2"/>
        </w:numPr>
        <w:spacing w:after="80"/>
      </w:pPr>
      <w:r>
        <w:rPr>
          <w:b w:val="false"/>
          <w:bCs w:val="false"/>
        </w:rPr>
        <w:t xml:space="preserve">K-RERA has registered over 8,357 projects and more than 5,417 real estate agents to date, making it one of India's most active state RERA implementations even as CREDAI Karnataka continues to press for faster e-Khata processing.</w:t>
      </w:r>
    </w:p>
    <w:p>
      <w:pPr>
        <w:spacing w:after="150"/>
      </w:pPr>
      <w:r>
        <w:rPr>
          <w:i/>
          <w:iCs/>
          <w:color w:val="595959"/>
          <w:sz w:val="18"/>
          <w:szCs w:val="18"/>
        </w:rPr>
        <w:t xml:space="preserve">Sources: The India Post/Square Yards (Karnataka e-stamping, cost breakdown); HomeFirstIndia (K-RERA registration guide).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sales across India's top seven cities eased about 6% YoY in the June quarter, yet prices held up in most premium markets, including Chennai and Hyderabad, reflecting resilient underlying demand despite softer volume.</w:t>
      </w:r>
    </w:p>
    <w:p>
      <w:pPr>
        <w:pStyle w:val="ListParagraph"/>
        <w:numPr>
          <w:ilvl w:val="0"/>
          <w:numId w:val="2"/>
        </w:numPr>
        <w:spacing w:after="80"/>
      </w:pPr>
      <w:r>
        <w:rPr>
          <w:b w:val="false"/>
          <w:bCs w:val="false"/>
        </w:rPr>
        <w:t xml:space="preserve">Hyderabad closed the period with an unsold inventory of 54,878 homes, giving buyers considerably more choice as the "crazy price hikes" of recent years give way to a steadier, more selective market.</w:t>
      </w:r>
    </w:p>
    <w:p>
      <w:pPr>
        <w:pStyle w:val="ListParagraph"/>
        <w:numPr>
          <w:ilvl w:val="0"/>
          <w:numId w:val="2"/>
        </w:numPr>
        <w:spacing w:after="80"/>
      </w:pPr>
      <w:r>
        <w:rPr>
          <w:b w:val="false"/>
          <w:bCs w:val="false"/>
        </w:rPr>
        <w:t xml:space="preserve">Telangana's newly amended building rules — additional floors, setback relaxations and expanded TDR usage — are expected to further boost Hyderabad's residential supply pipeline in the coming quarters.</w:t>
      </w:r>
    </w:p>
    <w:p>
      <w:pPr>
        <w:spacing w:after="150"/>
      </w:pPr>
      <w:r>
        <w:rPr>
          <w:i/>
          <w:iCs/>
          <w:color w:val="595959"/>
          <w:sz w:val="18"/>
          <w:szCs w:val="18"/>
        </w:rPr>
        <w:t xml:space="preserve">Sources: Business Standard/RealtyHunting (top-7-cities June quarter); TeluguTimes (Hyderabad inventory, market outlook); Charan Group Updates (Telangana building rules).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 emerged as India's fastest-growing destination for large office occupiers, with leasing of spaces above 100,000 sq ft rising 63% YoY to 4.9 million sq ft in H1 2026, up from 3.0 million sq ft a year earlier.</w:t>
      </w:r>
    </w:p>
    <w:p>
      <w:pPr>
        <w:pStyle w:val="ListParagraph"/>
        <w:numPr>
          <w:ilvl w:val="0"/>
          <w:numId w:val="2"/>
        </w:numPr>
        <w:spacing w:after="80"/>
      </w:pPr>
      <w:r>
        <w:rPr>
          <w:b w:val="false"/>
          <w:bCs w:val="false"/>
        </w:rPr>
        <w:t xml:space="preserve">GCCs accounted for 55% of Chennai's 3.2 million sq ft office absorption and 48% of Hyderabad's 6.4 million sq ft in H1 2026, cementing both cities' status as leading GCC hubs.</w:t>
      </w:r>
    </w:p>
    <w:p>
      <w:pPr>
        <w:pStyle w:val="ListParagraph"/>
        <w:numPr>
          <w:ilvl w:val="0"/>
          <w:numId w:val="2"/>
        </w:numPr>
        <w:spacing w:after="80"/>
      </w:pPr>
      <w:r>
        <w:rPr>
          <w:b w:val="false"/>
          <w:bCs w:val="false"/>
        </w:rPr>
        <w:t xml:space="preserve">Chennai is estimated to see a 5.3x surge in GCC leasing in 2025 versus 2021 levels — the highest of any Indian city — driven by affordable rentals, particularly in peripheral micro-markets.</w:t>
      </w:r>
    </w:p>
    <w:p>
      <w:pPr>
        <w:spacing w:after="150"/>
      </w:pPr>
      <w:r>
        <w:rPr>
          <w:i/>
          <w:iCs/>
          <w:color w:val="595959"/>
          <w:sz w:val="18"/>
          <w:szCs w:val="18"/>
        </w:rPr>
        <w:t xml:space="preserve">Sources: Business Standard (Hyderabad large-occupier leasing, Chennai/Hyderabad GCC share); Colliers (Chennai GCC leasing surge).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The Telangana government's ₹4 lakh crore mobility plan for Hyderabad through 2050 — spanning metro rail expansion, new roads and BRTS corridors — is expected to open significant new residential and commercial growth corridors over the coming decades.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CREDAI president Shekhar Patel's endorsement of the advisory as "a positive step taken in line with the sector's demand" continues to resonate with South Indian chapter leadership navigating West Asia conflict-linked supply constraints.</w:t>
      </w:r>
    </w:p>
    <w:p>
      <w:pPr>
        <w:spacing w:after="150"/>
      </w:pPr>
      <w:r>
        <w:rPr>
          <w:i/>
          <w:iCs/>
          <w:color w:val="595959"/>
          <w:sz w:val="18"/>
          <w:szCs w:val="18"/>
        </w:rPr>
        <w:t xml:space="preserve">Sources: Charan Group Updates (Telangana mobility plan); Business Standard (MoHUA advisory); PropNewsTime.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sales across India's top seven cities eased roughly 6% YoY in the June quarter, even as prices held up in most premium markets — signalling a demand pause rather than a price correction nationally.</w:t>
      </w:r>
    </w:p>
    <w:p>
      <w:pPr>
        <w:pStyle w:val="ListParagraph"/>
        <w:numPr>
          <w:ilvl w:val="0"/>
          <w:numId w:val="2"/>
        </w:numPr>
        <w:spacing w:after="80"/>
      </w:pPr>
      <w:r>
        <w:rPr>
          <w:b w:val="false"/>
          <w:bCs w:val="false"/>
        </w:rPr>
        <w:t xml:space="preserve">Bengaluru's residential launches (12,544 units, +4% YoY in Q2) and Hyderabad's growing unsold inventory (54,878 homes) together illustrate a national residential market shifting from rapid growth to more measured, buyer-friendly conditions.</w:t>
      </w:r>
    </w:p>
    <w:p>
      <w:pPr>
        <w:pStyle w:val="ListParagraph"/>
        <w:numPr>
          <w:ilvl w:val="0"/>
          <w:numId w:val="2"/>
        </w:numPr>
        <w:spacing w:after="80"/>
      </w:pPr>
      <w:r>
        <w:rPr>
          <w:b w:val="false"/>
          <w:bCs w:val="false"/>
        </w:rPr>
        <w:t xml:space="preserve">Festive-season promotional campaigns — such as Mana Projects' Independence Day "Freedom Month" offer in Bengaluru — are becoming more prominent nationally as developers compete for buyer attention in a more selective market.</w:t>
      </w:r>
    </w:p>
    <w:p>
      <w:pPr>
        <w:spacing w:after="150"/>
      </w:pPr>
      <w:r>
        <w:rPr>
          <w:i/>
          <w:iCs/>
          <w:color w:val="595959"/>
          <w:sz w:val="18"/>
          <w:szCs w:val="18"/>
        </w:rPr>
        <w:t xml:space="preserve">Sources: Business Standard/RealtyHunting; PropNewsTime/NoBroker Times; Mana Projects press release.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market leased a record 45.5 million sq ft in H1 2026, with GCCs driving 43% of that demand — underscoring the structural role Global Capability Centres now play in the national commercial real estate cycle.</w:t>
      </w:r>
    </w:p>
    <w:p>
      <w:pPr>
        <w:pStyle w:val="ListParagraph"/>
        <w:numPr>
          <w:ilvl w:val="0"/>
          <w:numId w:val="2"/>
        </w:numPr>
        <w:spacing w:after="80"/>
      </w:pPr>
      <w:r>
        <w:rPr>
          <w:b w:val="false"/>
          <w:bCs w:val="false"/>
        </w:rPr>
        <w:t xml:space="preserve">Net office absorption across six major Indian cities is forecast to hit a record high in FY26 at approximately 70 million sq ft, per ICRA, even as individual markets like Bengaluru see a temporary leasing dip.</w:t>
      </w:r>
    </w:p>
    <w:p>
      <w:pPr>
        <w:pStyle w:val="ListParagraph"/>
        <w:numPr>
          <w:ilvl w:val="0"/>
          <w:numId w:val="2"/>
        </w:numPr>
        <w:spacing w:after="80"/>
      </w:pPr>
      <w:r>
        <w:rPr>
          <w:b w:val="false"/>
          <w:bCs w:val="false"/>
        </w:rPr>
        <w:t xml:space="preserve">GCC leasing nationally is projected at 60–65 million sq ft during 2026–27, a 15–20% increase over the preceding two-year period, per Colliers — reinforcing GCCs as India's single largest office-demand driver going forward.</w:t>
      </w:r>
    </w:p>
    <w:p>
      <w:pPr>
        <w:spacing w:after="150"/>
      </w:pPr>
      <w:r>
        <w:rPr>
          <w:i/>
          <w:iCs/>
          <w:color w:val="595959"/>
          <w:sz w:val="18"/>
          <w:szCs w:val="18"/>
        </w:rPr>
        <w:t xml:space="preserve">Sources: Business Standard (45.5 million sq ft H1 2026, ICRA FY26 forecast); Colliers (GCC leasing projections).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by state RERAs nationally in response to West Asia conflict-linked supply-chain disruptions.</w:t>
      </w:r>
    </w:p>
    <w:p>
      <w:pPr>
        <w:pStyle w:val="ListParagraph"/>
        <w:numPr>
          <w:ilvl w:val="0"/>
          <w:numId w:val="2"/>
        </w:numPr>
        <w:spacing w:after="80"/>
      </w:pPr>
      <w:r>
        <w:rPr>
          <w:b w:val="false"/>
          <w:bCs w:val="false"/>
        </w:rPr>
        <w:t xml:space="preserve">CREDAI president Shekhar Patel reiterated that the advisory is "a positive step taken in line with the sector's demand," with CREDAI Odisha among the state chapters to have formally welcomed it alongside NAREDCO.</w:t>
      </w:r>
    </w:p>
    <w:p>
      <w:pPr>
        <w:pStyle w:val="ListParagraph"/>
        <w:numPr>
          <w:ilvl w:val="0"/>
          <w:numId w:val="2"/>
        </w:numPr>
        <w:spacing w:after="80"/>
      </w:pPr>
      <w:r>
        <w:rPr>
          <w:b w:val="false"/>
          <w:bCs w:val="false"/>
        </w:rPr>
        <w:t xml:space="preserve">Karnataka's rollout of digital e-stamping under its new Digital e-Stamp Rules, 2025 is being watched as a potential template for other states seeking to modernise property-registration infrastructure nationally.</w:t>
      </w:r>
    </w:p>
    <w:p>
      <w:pPr>
        <w:spacing w:after="150"/>
      </w:pPr>
      <w:r>
        <w:rPr>
          <w:i/>
          <w:iCs/>
          <w:color w:val="595959"/>
          <w:sz w:val="18"/>
          <w:szCs w:val="18"/>
        </w:rPr>
        <w:t xml:space="preserve">Sources: Business Standard; Odisha Ray; The India Post (Karnataka e-stamping).</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2026-08-11T03:40:15.286Z</dcterms:created>
  <dcterms:modified xsi:type="dcterms:W3CDTF">2026-08-11T03:40:15.298Z</dcterms:modified>
</cp:coreProperties>
</file>

<file path=docProps/custom.xml><?xml version="1.0" encoding="utf-8"?>
<Properties xmlns="http://schemas.openxmlformats.org/officeDocument/2006/custom-properties" xmlns:vt="http://schemas.openxmlformats.org/officeDocument/2006/docPropsVTypes"/>
</file>