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Saturday, 17 October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Marathahalli's average asking price stands at roughly ₹15,450 per sq ft per Square Yards, though a separate 2026 locality guide puts sale prices in a wider ₹8,500-13,500 per sq ft range depending on project age and amenities.</w:t>
      </w:r>
    </w:p>
    <w:p>
      <w:pPr>
        <w:pStyle w:val="ListParagraph"/>
        <w:numPr>
          <w:ilvl w:val="0"/>
          <w:numId w:val="2"/>
        </w:numPr>
        <w:spacing w:after="80"/>
      </w:pPr>
      <w:r>
        <w:rPr>
          <w:b w:val="false"/>
          <w:bCs w:val="false"/>
        </w:rPr>
        <w:t xml:space="preserve">A single tracked project, MVS Residency, saw pricing rise from ₹8,950 to ₹10,450 per sq ft in Q2 2026 — a 16.76% increase — illustrating the sharp project-level price momentum within the corridor even as locality-wide averages vary widely across sources.</w:t>
      </w:r>
    </w:p>
    <w:p>
      <w:pPr>
        <w:pStyle w:val="ListParagraph"/>
        <w:numPr>
          <w:ilvl w:val="0"/>
          <w:numId w:val="2"/>
        </w:numPr>
        <w:spacing w:after="80"/>
      </w:pPr>
      <w:r>
        <w:rPr>
          <w:b w:val="false"/>
          <w:bCs w:val="false"/>
        </w:rPr>
        <w:t xml:space="preserve">ORR-adjacent pricing is reported to have crossed affordability thresholds for mid-income buyers by 2024-25, with 2026 market commentary noting a continued shift in buyer priorities toward affordability and connectivity over the corridor's traditional IT-proximity appeal.</w:t>
      </w:r>
    </w:p>
    <w:p>
      <w:pPr>
        <w:spacing w:after="150"/>
      </w:pPr>
      <w:r>
        <w:rPr>
          <w:i/>
          <w:iCs/>
          <w:color w:val="595959"/>
          <w:sz w:val="18"/>
          <w:szCs w:val="18"/>
        </w:rPr>
        <w:t xml:space="preserve">Sources: Square Yards (Marathahalli asking price, MVS Residency pricing); 2026 locality guide (Marathahalli price range); Therealtytoday (ORR affordability shift, 2026 micro-market commentary).</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A Marathahalli station on the Blue Line is expected to become operational in the 2026-27 window per one locality guide, while broker commentary separately references an upcoming Phase 2A ORR Metro Line without a confirmed date.</w:t>
      </w:r>
    </w:p>
    <w:p>
      <w:pPr>
        <w:pStyle w:val="ListParagraph"/>
        <w:numPr>
          <w:ilvl w:val="0"/>
          <w:numId w:val="2"/>
        </w:numPr>
        <w:spacing w:after="80"/>
      </w:pPr>
      <w:r>
        <w:rPr>
          <w:b w:val="false"/>
          <w:bCs w:val="false"/>
        </w:rPr>
        <w:t xml:space="preserve">Marathahalli's continued appeal is attributed to steady price appreciation backed by genuine end-user demand rather than purely speculative investment, according to developer-affiliated market commentary.</w:t>
      </w:r>
    </w:p>
    <w:p>
      <w:pPr>
        <w:pStyle w:val="ListParagraph"/>
        <w:numPr>
          <w:ilvl w:val="0"/>
          <w:numId w:val="2"/>
        </w:numPr>
        <w:spacing w:after="80"/>
      </w:pPr>
      <w:r>
        <w:rPr>
          <w:b w:val="false"/>
          <w:bCs w:val="false"/>
        </w:rPr>
        <w:t xml:space="preserve">The wide divergence in locality-level pricing data across Marathahalli sources underscores the continued need to verify figures against registered Kaveri transaction data before underwriting deals along the ORR corridor.</w:t>
      </w:r>
    </w:p>
    <w:p>
      <w:pPr>
        <w:spacing w:after="150"/>
      </w:pPr>
      <w:r>
        <w:rPr>
          <w:i/>
          <w:iCs/>
          <w:color w:val="595959"/>
          <w:sz w:val="18"/>
          <w:szCs w:val="18"/>
        </w:rPr>
        <w:t xml:space="preserve">Sources: Locality guide (Blue Line timing); Century Real Estate (Marathahalli demand commentary); Square Yards.</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The Karnataka Real Estate Appellate Tribunal has upheld K-RERA's ruling that the Bengaluru Development Authority qualifies as a "promoter" under RERA in the Nadaprabhu Kempegowda Layout (NPKL) case, with BDA reportedly weighing an appeal to the Karnataka High Court.</w:t>
      </w:r>
    </w:p>
    <w:p>
      <w:pPr>
        <w:pStyle w:val="ListParagraph"/>
        <w:numPr>
          <w:ilvl w:val="0"/>
          <w:numId w:val="2"/>
        </w:numPr>
        <w:spacing w:after="80"/>
      </w:pPr>
      <w:r>
        <w:rPr>
          <w:b w:val="false"/>
          <w:bCs w:val="false"/>
        </w:rPr>
        <w:t xml:space="preserve">K-RERA's 2026 enforcement activity has reportedly seen roughly 2,600 projects lapse for non-compliance with registration-renewal or disclosure obligations, alongside an 80% disposal rate on more than 12,000 buyer complaints — figures from third-party reporting that warrant verification against K-RERA's own publications.</w:t>
      </w:r>
    </w:p>
    <w:p>
      <w:pPr>
        <w:pStyle w:val="ListParagraph"/>
        <w:numPr>
          <w:ilvl w:val="0"/>
          <w:numId w:val="2"/>
        </w:numPr>
        <w:spacing w:after="80"/>
      </w:pPr>
      <w:r>
        <w:rPr>
          <w:b w:val="false"/>
          <w:bCs w:val="false"/>
        </w:rPr>
        <w:t xml:space="preserve">The Karnataka Housing Department has appointed retired IAS officer N. Jayaram as a K-RERA member (notified 15 July 2026), adding to the authority's leadership capacity amid its continued enforcement push against both private developers and statutory authorities like the BDA.</w:t>
      </w:r>
    </w:p>
    <w:p>
      <w:pPr>
        <w:spacing w:after="150"/>
      </w:pPr>
      <w:r>
        <w:rPr>
          <w:i/>
          <w:iCs/>
          <w:color w:val="595959"/>
          <w:sz w:val="18"/>
          <w:szCs w:val="18"/>
        </w:rPr>
        <w:t xml:space="preserve">Sources: Vaultproptech/Deccan Herald (KREAT tribunal ruling on BDA, NPKL case); PropNewz (2026 K-RERA enforcement statistics); Deccan Herald (N. Jayaram K-RERA appointment).</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The Visakhapatnam Metropolitan Region Development Authority (VMRDA) plans to develop roughly 25,000 residential plots for middle-income homebuyers by 2026, alongside associated road and transport infrastructure upgrades.</w:t>
      </w:r>
    </w:p>
    <w:p>
      <w:pPr>
        <w:pStyle w:val="ListParagraph"/>
        <w:numPr>
          <w:ilvl w:val="0"/>
          <w:numId w:val="2"/>
        </w:numPr>
        <w:spacing w:after="80"/>
      </w:pPr>
      <w:r>
        <w:rPr>
          <w:b w:val="false"/>
          <w:bCs w:val="false"/>
        </w:rPr>
        <w:t xml:space="preserve">The middle-income plot push comes as Visakhapatnam's broader real estate market draws fresh attention on the back of large-scale technology infrastructure investment entering the city through 2026.</w:t>
      </w:r>
    </w:p>
    <w:p>
      <w:pPr>
        <w:pStyle w:val="ListParagraph"/>
        <w:numPr>
          <w:ilvl w:val="0"/>
          <w:numId w:val="2"/>
        </w:numPr>
        <w:spacing w:after="80"/>
      </w:pPr>
      <w:r>
        <w:rPr>
          <w:b w:val="false"/>
          <w:bCs w:val="false"/>
        </w:rPr>
        <w:t xml:space="preserve">VMRDA's affordable-plot program is expected to meaningfully expand the city's formal residential land supply, a notable shift for a market that has historically been smaller and less liquid than Hyderabad or Chennai.</w:t>
      </w:r>
    </w:p>
    <w:p>
      <w:pPr>
        <w:spacing w:after="150"/>
      </w:pPr>
      <w:r>
        <w:rPr>
          <w:i/>
          <w:iCs/>
          <w:color w:val="595959"/>
          <w:sz w:val="18"/>
          <w:szCs w:val="18"/>
        </w:rPr>
        <w:t xml:space="preserve">Sources: Therealtytoday (VMRDA 25,000 middle-income-group plots plan).</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Google has broken ground on an India AI hub in Visakhapatnam in partnership with AdaniConneX and Nxtra by Airtel, comprising three data centre campuses with a combined capacity approaching 1 gigawatt.</w:t>
      </w:r>
    </w:p>
    <w:p>
      <w:pPr>
        <w:pStyle w:val="ListParagraph"/>
        <w:numPr>
          <w:ilvl w:val="0"/>
          <w:numId w:val="2"/>
        </w:numPr>
        <w:spacing w:after="80"/>
      </w:pPr>
      <w:r>
        <w:rPr>
          <w:b w:val="false"/>
          <w:bCs w:val="false"/>
        </w:rPr>
        <w:t xml:space="preserve">Industry estimates suggest Visakhapatnam could attract data centre investment of up to ₹6.32 lakh crore, positioning the city as a potential new data centre capital for India alongside established hubs like Mumbai-MMR.</w:t>
      </w:r>
    </w:p>
    <w:p>
      <w:pPr>
        <w:pStyle w:val="ListParagraph"/>
        <w:numPr>
          <w:ilvl w:val="0"/>
          <w:numId w:val="2"/>
        </w:numPr>
        <w:spacing w:after="80"/>
      </w:pPr>
      <w:r>
        <w:rPr>
          <w:b w:val="false"/>
          <w:bCs w:val="false"/>
        </w:rPr>
        <w:t xml:space="preserve">The scale of this data centre pipeline is expected to generate substantial ancillary demand for land, power infrastructure and supporting real estate across Visakhapatnam's periphery over the coming years.</w:t>
      </w:r>
    </w:p>
    <w:p>
      <w:pPr>
        <w:spacing w:after="150"/>
      </w:pPr>
      <w:r>
        <w:rPr>
          <w:i/>
          <w:iCs/>
          <w:color w:val="595959"/>
          <w:sz w:val="18"/>
          <w:szCs w:val="18"/>
        </w:rPr>
        <w:t xml:space="preserve">Sources: Squareyards aggregator coverage (Google AI hub, AdaniConneX/Nxtra data centre campuses, ₹6.32 lakh crore investment estimate).</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Developers in Visakhapatnam have reportedly been hesitant to fully comply with RERA registration requirements, citing difficulty obtaining GVMC sanctions ahead of RERA approval and the absence of a dedicated RERA office in the city.</w:t>
      </w:r>
    </w:p>
    <w:p>
      <w:pPr>
        <w:pStyle w:val="ListParagraph"/>
        <w:numPr>
          <w:ilvl w:val="0"/>
          <w:numId w:val="2"/>
        </w:numPr>
        <w:spacing w:after="80"/>
      </w:pPr>
      <w:r>
        <w:rPr>
          <w:b w:val="false"/>
          <w:bCs w:val="false"/>
        </w:rPr>
        <w:t xml:space="preserve">A five-year structural guarantee requirement under RERA has also been cited by Visakhapatnam developers as a specific compliance friction point, distinct from procedural registration delays.</w:t>
      </w:r>
    </w:p>
    <w:p>
      <w:pPr>
        <w:pStyle w:val="ListParagraph"/>
        <w:numPr>
          <w:ilvl w:val="0"/>
          <w:numId w:val="2"/>
        </w:numPr>
        <w:spacing w:after="80"/>
      </w:pPr>
      <w:r>
        <w:rPr>
          <w:b w:val="false"/>
          <w:bCs w:val="false"/>
        </w:rPr>
        <w:t xml:space="preserve">CREDAI Andhra Pradesh is likely to press for a dedicated Visakhapatnam RERA office and streamlined GVMC-RERA sequencing as the city's data centre and middle-income housing pipelines draw a wider pool of developers into the market.</w:t>
      </w:r>
    </w:p>
    <w:p>
      <w:pPr>
        <w:spacing w:after="150"/>
      </w:pPr>
      <w:r>
        <w:rPr>
          <w:i/>
          <w:iCs/>
          <w:color w:val="595959"/>
          <w:sz w:val="18"/>
          <w:szCs w:val="18"/>
        </w:rPr>
        <w:t xml:space="preserve">Sources: Squareyards aggregator coverage (Visakhapatnam RERA compliance friction, GVMC sanction sequencing, five-year guarantee requirement).</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Mumbai remained India's largest residential market in the January-September 2026 period per Knight Frank, with 72,804 units sold, up 1% YoY, while Pune recorded 36,402 units, broadly unchanged from a year earlier.</w:t>
      </w:r>
    </w:p>
    <w:p>
      <w:pPr>
        <w:pStyle w:val="ListParagraph"/>
        <w:numPr>
          <w:ilvl w:val="0"/>
          <w:numId w:val="2"/>
        </w:numPr>
        <w:spacing w:after="80"/>
      </w:pPr>
      <w:r>
        <w:rPr>
          <w:b w:val="false"/>
          <w:bCs w:val="false"/>
        </w:rPr>
        <w:t xml:space="preserve">A separate NAR-India and CRE Matrix report found that the Mumbai region has overtaken Delhi-NCR as the country's largest housing market by sales value, a shift in the national residential hierarchy through 2026.</w:t>
      </w:r>
    </w:p>
    <w:p>
      <w:pPr>
        <w:pStyle w:val="ListParagraph"/>
        <w:numPr>
          <w:ilvl w:val="0"/>
          <w:numId w:val="2"/>
        </w:numPr>
        <w:spacing w:after="80"/>
      </w:pPr>
      <w:r>
        <w:rPr>
          <w:b w:val="false"/>
          <w:bCs w:val="false"/>
        </w:rPr>
        <w:t xml:space="preserve">Mumbai's continued sales strength and Pune's steady volumes contrast with softer momentum in Delhi-NCR, reinforcing a widening west-versus-north divergence in India's residential demand through the first nine months of the year.</w:t>
      </w:r>
    </w:p>
    <w:p>
      <w:pPr>
        <w:spacing w:after="150"/>
      </w:pPr>
      <w:r>
        <w:rPr>
          <w:i/>
          <w:iCs/>
          <w:color w:val="595959"/>
          <w:sz w:val="18"/>
          <w:szCs w:val="18"/>
        </w:rPr>
        <w:t xml:space="preserve">Sources: Outlookmoney/Knight Frank (Mumbai, Pune 9M 2026 sales); NAR-India/CRE Matrix (Mumbai overtaking Delhi-NCR by sales value).</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Knight Frank reported total private equity inflows into Indian real estate of $1.13 billion in H1 2026, down 23% YoY from $1.47 billion in H1 2025, with office assets capturing roughly 89% of total inflows.</w:t>
      </w:r>
    </w:p>
    <w:p>
      <w:pPr>
        <w:pStyle w:val="ListParagraph"/>
        <w:numPr>
          <w:ilvl w:val="0"/>
          <w:numId w:val="2"/>
        </w:numPr>
        <w:spacing w:after="80"/>
      </w:pPr>
      <w:r>
        <w:rPr>
          <w:b w:val="false"/>
          <w:bCs w:val="false"/>
        </w:rPr>
        <w:t xml:space="preserve">NCR emerged as the top PE investment destination in H1 2026 with a 522% YoY surge to $411.1 million, accounting for over a third of national inflows, followed by Pune at $355.9 million, while Mumbai recorded the lowest major-market total at $84.3 million amid high asset valuations.</w:t>
      </w:r>
    </w:p>
    <w:p>
      <w:pPr>
        <w:pStyle w:val="ListParagraph"/>
        <w:numPr>
          <w:ilvl w:val="0"/>
          <w:numId w:val="2"/>
        </w:numPr>
        <w:spacing w:after="80"/>
      </w:pPr>
      <w:r>
        <w:rPr>
          <w:b w:val="false"/>
          <w:bCs w:val="false"/>
        </w:rPr>
        <w:t xml:space="preserve">Residential-focused PE investment fell sharply to $128 million in H1 2026 from $297 million in H1 2025, a decline attributed to investors becoming more cautious and selective toward development-driven residential deals.</w:t>
      </w:r>
    </w:p>
    <w:p>
      <w:pPr>
        <w:spacing w:after="150"/>
      </w:pPr>
      <w:r>
        <w:rPr>
          <w:i/>
          <w:iCs/>
          <w:color w:val="595959"/>
          <w:sz w:val="18"/>
          <w:szCs w:val="18"/>
        </w:rPr>
        <w:t xml:space="preserve">Sources: Deccan Herald/Knight Frank (H1 2026 total PE inflows, YoY decline); Outlookmoney/Knight Frank (NCR, Pune, Mumbai city-wise PE breakdown, residential PE decline).</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CREDAI and NAREDCO are likely to flag the sharp year-on-year drop in residential-focused PE investment (down from $297 million to $128 million) as a demand-side concern even as office-driven institutional inflows remain comparatively resilient.</w:t>
      </w:r>
    </w:p>
    <w:p>
      <w:pPr>
        <w:pStyle w:val="ListParagraph"/>
        <w:numPr>
          <w:ilvl w:val="0"/>
          <w:numId w:val="2"/>
        </w:numPr>
        <w:spacing w:after="80"/>
      </w:pPr>
      <w:r>
        <w:rPr>
          <w:b w:val="false"/>
          <w:bCs w:val="false"/>
        </w:rPr>
        <w:t xml:space="preserve">NCR's 522% surge in PE investment stands in contrast to its reported residential sales softness in Knight Frank's parallel sales data, a divergence between investor capital and end-user demand that industry bodies are likely to continue watching closely.</w:t>
      </w:r>
    </w:p>
    <w:p>
      <w:pPr>
        <w:pStyle w:val="ListParagraph"/>
        <w:numPr>
          <w:ilvl w:val="0"/>
          <w:numId w:val="2"/>
        </w:numPr>
        <w:spacing w:after="80"/>
      </w:pPr>
      <w:r>
        <w:rPr>
          <w:b w:val="false"/>
          <w:bCs w:val="false"/>
        </w:rPr>
        <w:t xml:space="preserve">With Mumbai now reportedly the country's largest housing market by sales value, CREDAI and NAREDCO's western-region chapters are expected to press for continued policy support to sustain the city's residential momentum relative to other major markets.</w:t>
      </w:r>
    </w:p>
    <w:p>
      <w:pPr>
        <w:spacing w:after="150"/>
      </w:pPr>
      <w:r>
        <w:rPr>
          <w:i/>
          <w:iCs/>
          <w:color w:val="595959"/>
          <w:sz w:val="18"/>
          <w:szCs w:val="18"/>
        </w:rPr>
        <w:t xml:space="preserve">Sources: Deccan Herald/Knight Frank; Outlookmoney/Knight Frank; NAR-India/CRE Matrix.</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2026-10-17T03:46:03.037Z</dcterms:created>
  <dcterms:modified xsi:type="dcterms:W3CDTF">2026-10-17T03:46:03.047Z</dcterms:modified>
</cp:coreProperties>
</file>

<file path=docProps/custom.xml><?xml version="1.0" encoding="utf-8"?>
<Properties xmlns="http://schemas.openxmlformats.org/officeDocument/2006/custom-properties" xmlns:vt="http://schemas.openxmlformats.org/officeDocument/2006/docPropsVTypes"/>
</file>