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Sunday, 6 September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Varthur and Gunjur, on Bengaluru's eastern edge, are seeing renewed residential interest as the state has budgeted ₹150 crore for a proposed Varthur-Gunjur elevated corridor extension in FY2026-27, aimed at easing one of the city's biggest bottlenecks linking Whitefield to the Sarjapur belt.</w:t>
      </w:r>
    </w:p>
    <w:p>
      <w:pPr>
        <w:pStyle w:val="ListParagraph"/>
        <w:numPr>
          <w:ilvl w:val="0"/>
          <w:numId w:val="2"/>
        </w:numPr>
        <w:spacing w:after="80"/>
      </w:pPr>
      <w:r>
        <w:rPr>
          <w:b w:val="false"/>
          <w:bCs w:val="false"/>
        </w:rPr>
        <w:t xml:space="preserve">Outer Ring Road (South-East), Whitefield and Nagavara together account for roughly 36% of Bengaluru's total office supply, with ICRA projecting vacancy to stay low in ORR and Nagavara and improve marginally in Whitefield through FY2026 — sustaining nearby residential catchment demand.</w:t>
      </w:r>
    </w:p>
    <w:p>
      <w:pPr>
        <w:pStyle w:val="ListParagraph"/>
        <w:numPr>
          <w:ilvl w:val="0"/>
          <w:numId w:val="2"/>
        </w:numPr>
        <w:spacing w:after="80"/>
      </w:pPr>
      <w:r>
        <w:rPr>
          <w:b w:val="false"/>
          <w:bCs w:val="false"/>
        </w:rPr>
        <w:t xml:space="preserve">Continued SH-35 and Varthur Kodi road upgrades through 2026 are expected to further support residential absorption along this corridor as connectivity to established IT employment hubs improves.</w:t>
      </w:r>
    </w:p>
    <w:p>
      <w:pPr>
        <w:spacing w:after="150"/>
      </w:pPr>
      <w:r>
        <w:rPr>
          <w:i/>
          <w:iCs/>
          <w:color w:val="595959"/>
          <w:sz w:val="18"/>
          <w:szCs w:val="18"/>
        </w:rPr>
        <w:t xml:space="preserve">Sources: MyHQ (ORR vs Whitefield vs North Bangalore leasing guide, Varthur-Gunjur corridor budget); Cushman &amp; Wakefield Bengaluru MarketBeat (ORR/Whitefield/Nagavara office supply share, ICRA vacancy outlook).</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Whitefield continues to dominate demand for Grade-A corporate leasing in Bengaluru, with occupiers including EY, Deloitte and Capgemini expanding large-format campus leasing through 2025-26.</w:t>
      </w:r>
    </w:p>
    <w:p>
      <w:pPr>
        <w:pStyle w:val="ListParagraph"/>
        <w:numPr>
          <w:ilvl w:val="0"/>
          <w:numId w:val="2"/>
        </w:numPr>
        <w:spacing w:after="80"/>
      </w:pPr>
      <w:r>
        <w:rPr>
          <w:b w:val="false"/>
          <w:bCs w:val="false"/>
        </w:rPr>
        <w:t xml:space="preserve">India's office market stayed resilient in Q2 2026, with gross leasing of approximately 21.4 million sq ft across the top eight cities despite global economic uncertainty, with Bengaluru's ORR-Whitefield-Nagavara belt a major contributor.</w:t>
      </w:r>
    </w:p>
    <w:p>
      <w:pPr>
        <w:pStyle w:val="ListParagraph"/>
        <w:numPr>
          <w:ilvl w:val="0"/>
          <w:numId w:val="2"/>
        </w:numPr>
        <w:spacing w:after="80"/>
      </w:pPr>
      <w:r>
        <w:rPr>
          <w:b w:val="false"/>
          <w:bCs w:val="false"/>
        </w:rPr>
        <w:t xml:space="preserve">Average office rentals across Bengaluru are projected to rise 3–4% annually through FY2026, with the CBD posting the fastest growth at 6–7% YoY and strong increases also seen in Whitefield and ORR.</w:t>
      </w:r>
    </w:p>
    <w:p>
      <w:pPr>
        <w:spacing w:after="150"/>
      </w:pPr>
      <w:r>
        <w:rPr>
          <w:i/>
          <w:iCs/>
          <w:color w:val="595959"/>
          <w:sz w:val="18"/>
          <w:szCs w:val="18"/>
        </w:rPr>
        <w:t xml:space="preserve">Sources: Cityinfo Services/Bangalore Properties (Whitefield Grade-A leasing, GCC demand); Business Standard/JLL (Q2 2026 national office leasing); Cushman &amp; Wakefield (Bengaluru rental growth).</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CREDAI Karnataka is expected to continue advocating for infrastructure investments like the Varthur-Gunjur elevated corridor, viewing improved east Bengaluru connectivity as essential to sustaining both residential and office-led demand along the Whitefield-Sarjapur belt.</w:t>
      </w:r>
    </w:p>
    <w:p>
      <w:pPr>
        <w:pStyle w:val="ListParagraph"/>
        <w:numPr>
          <w:ilvl w:val="0"/>
          <w:numId w:val="2"/>
        </w:numPr>
        <w:spacing w:after="80"/>
      </w:pPr>
      <w:r>
        <w:rPr>
          <w:b w:val="false"/>
          <w:bCs w:val="false"/>
        </w:rPr>
        <w:t xml:space="preserve">K-RERA's registration oversight of new residential launches in the Varthur-Gunjur micro-market is expected to intensify as the proposed elevated corridor draws fresh developer interest to the area.</w:t>
      </w:r>
    </w:p>
    <w:p>
      <w:pPr>
        <w:pStyle w:val="ListParagraph"/>
        <w:numPr>
          <w:ilvl w:val="0"/>
          <w:numId w:val="2"/>
        </w:numPr>
        <w:spacing w:after="80"/>
      </w:pPr>
      <w:r>
        <w:rPr>
          <w:b w:val="false"/>
          <w:bCs w:val="false"/>
        </w:rPr>
        <w:t xml:space="preserve">With ORR, Whitefield and Nagavara together holding over a third of the city's office supply, Karnataka's regulatory bodies continue to monitor how sustained low vacancy and rental growth in these corridors are shaping new project approvals nearby.</w:t>
      </w:r>
    </w:p>
    <w:p>
      <w:pPr>
        <w:spacing w:after="150"/>
      </w:pPr>
      <w:r>
        <w:rPr>
          <w:i/>
          <w:iCs/>
          <w:color w:val="595959"/>
          <w:sz w:val="18"/>
          <w:szCs w:val="18"/>
        </w:rPr>
        <w:t xml:space="preserve">Sources: MyHQ; Cushman &amp; Wakefield Bengaluru MarketBeat; Cityinfo Services.</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Thiruvananthapuram (Trivandrum) recorded an 11% YoY rise in real estate activity, supported by expansion of Technopark and Technocity, with DMRC submitting a Detailed Project Report for a proposed metro system to Kochi Metro Rail Limited in June 2026, now awaiting state government approval.</w:t>
      </w:r>
    </w:p>
    <w:p>
      <w:pPr>
        <w:pStyle w:val="ListParagraph"/>
        <w:numPr>
          <w:ilvl w:val="0"/>
          <w:numId w:val="2"/>
        </w:numPr>
        <w:spacing w:after="80"/>
      </w:pPr>
      <w:r>
        <w:rPr>
          <w:b w:val="false"/>
          <w:bCs w:val="false"/>
        </w:rPr>
        <w:t xml:space="preserve">Kochi Metro Phase 2 (Pink Line), an 11.2-km extension from JLN Stadium to Infopark via Kakkanad, is under active construction by Afcons Infrastructure with completion targeted between late 2026 and early 2028.</w:t>
      </w:r>
    </w:p>
    <w:p>
      <w:pPr>
        <w:pStyle w:val="ListParagraph"/>
        <w:numPr>
          <w:ilvl w:val="0"/>
          <w:numId w:val="2"/>
        </w:numPr>
        <w:spacing w:after="80"/>
      </w:pPr>
      <w:r>
        <w:rPr>
          <w:b w:val="false"/>
          <w:bCs w:val="false"/>
        </w:rPr>
        <w:t xml:space="preserve">Demand for apartments and gated communities in Kochi remains strongest in Kakkanad, Vyttila, Edappally, Kadavanthra and Thrippunithura, driven by Infopark expansion, SEZ developments and the city's Metro and Water Metro connectivity.</w:t>
      </w:r>
    </w:p>
    <w:p>
      <w:pPr>
        <w:spacing w:after="150"/>
      </w:pPr>
      <w:r>
        <w:rPr>
          <w:i/>
          <w:iCs/>
          <w:color w:val="595959"/>
          <w:sz w:val="18"/>
          <w:szCs w:val="18"/>
        </w:rPr>
        <w:t xml:space="preserve">Sources: Sobha (Trivandrum vs Kochi 2026 returns, Technopark/Technocity growth); RealtyPromoo (Kochi Metro Phase 2, top demand localities).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Major Kerala infrastructure projects — Vizhinjam International Seaport, Technopark Phase III, CRDP Phase II, the Mukkola-Karode bypass and the Kazhakoottam elevated highway — are in various stages of development, reinforcing Trivandrum's long-term commercial growth case.</w:t>
      </w:r>
    </w:p>
    <w:p>
      <w:pPr>
        <w:pStyle w:val="ListParagraph"/>
        <w:numPr>
          <w:ilvl w:val="0"/>
          <w:numId w:val="2"/>
        </w:numPr>
        <w:spacing w:after="80"/>
      </w:pPr>
      <w:r>
        <w:rPr>
          <w:b w:val="false"/>
          <w:bCs w:val="false"/>
        </w:rPr>
        <w:t xml:space="preserve">Kochi's SEZ and Infopark expansion continues to anchor the city's IT-led commercial office demand, complementing its established position as South India's leading port and logistics-linked commercial hub.</w:t>
      </w:r>
    </w:p>
    <w:p>
      <w:pPr>
        <w:pStyle w:val="ListParagraph"/>
        <w:numPr>
          <w:ilvl w:val="0"/>
          <w:numId w:val="2"/>
        </w:numPr>
        <w:spacing w:after="80"/>
      </w:pPr>
      <w:r>
        <w:rPr>
          <w:b w:val="false"/>
          <w:bCs w:val="false"/>
        </w:rPr>
        <w:t xml:space="preserve">Trivandrum's IT-park-led growth (Technopark, Technocity) and Kochi's port-and-metro-driven expansion give Kerala two distinct but complementary commercial growth engines heading into 2027.</w:t>
      </w:r>
    </w:p>
    <w:p>
      <w:pPr>
        <w:spacing w:after="150"/>
      </w:pPr>
      <w:r>
        <w:rPr>
          <w:i/>
          <w:iCs/>
          <w:color w:val="595959"/>
          <w:sz w:val="18"/>
          <w:szCs w:val="18"/>
        </w:rPr>
        <w:t xml:space="preserve">Sources: Sobha (Trivandrum infrastructure pipeline); RealtyPromoo (Kochi commercial drivers).</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Kerala's real estate sector is being described as stable through mid-2026, with infrastructure investment and continued NRI investment cited as the key pillars supporting the state's growth trajectory.</w:t>
      </w:r>
    </w:p>
    <w:p>
      <w:pPr>
        <w:pStyle w:val="ListParagraph"/>
        <w:numPr>
          <w:ilvl w:val="0"/>
          <w:numId w:val="2"/>
        </w:numPr>
        <w:spacing w:after="80"/>
      </w:pPr>
      <w:r>
        <w:rPr>
          <w:b w:val="false"/>
          <w:bCs w:val="false"/>
        </w:rPr>
        <w:t xml:space="preserve">The pending state government approval for Trivandrum's proposed metro system is expected to be a key registration and investment trigger that Kerala's CREDAI chapter and regulators will track closely once cleared.</w:t>
      </w:r>
    </w:p>
    <w:p>
      <w:pPr>
        <w:pStyle w:val="ListParagraph"/>
        <w:numPr>
          <w:ilvl w:val="0"/>
          <w:numId w:val="2"/>
        </w:numPr>
        <w:spacing w:after="80"/>
      </w:pPr>
      <w:r>
        <w:rPr>
          <w:b w:val="false"/>
          <w:bCs w:val="false"/>
        </w:rPr>
        <w:t xml:space="preserve">Kochi Metro Phase 2's active construction timeline gives South Indian CREDAI chapters a firm multi-year anchor for new residential and mixed-use project registrations along the Kakkanad-Infopark corridor.</w:t>
      </w:r>
    </w:p>
    <w:p>
      <w:pPr>
        <w:spacing w:after="150"/>
      </w:pPr>
      <w:r>
        <w:rPr>
          <w:i/>
          <w:iCs/>
          <w:color w:val="595959"/>
          <w:sz w:val="18"/>
          <w:szCs w:val="18"/>
        </w:rPr>
        <w:t xml:space="preserve">Sources: Kerala Realty (Kerala real estate trends, stability and NRI investment); Sobha; RealtyPromoo.</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India's real estate sector drew $4.3 billion in institutional investments in H1 2026, up 23% YoY, but the headline growth masks a structural shift — foreign investment declined 37% while domestic institutional capital hit a record 64% share of total flows.</w:t>
      </w:r>
    </w:p>
    <w:p>
      <w:pPr>
        <w:pStyle w:val="ListParagraph"/>
        <w:numPr>
          <w:ilvl w:val="0"/>
          <w:numId w:val="2"/>
        </w:numPr>
        <w:spacing w:after="80"/>
      </w:pPr>
      <w:r>
        <w:rPr>
          <w:b w:val="false"/>
          <w:bCs w:val="false"/>
        </w:rPr>
        <w:t xml:space="preserve">Domestic capital contributed $2.8 billion of H1 2026 institutional inflows, driven increasingly by domestic private equity players and REITs, signalling a maturing market that is becoming less vulnerable to external capital-flow shocks.</w:t>
      </w:r>
    </w:p>
    <w:p>
      <w:pPr>
        <w:pStyle w:val="ListParagraph"/>
        <w:numPr>
          <w:ilvl w:val="0"/>
          <w:numId w:val="2"/>
        </w:numPr>
        <w:spacing w:after="80"/>
      </w:pPr>
      <w:r>
        <w:rPr>
          <w:b w:val="false"/>
          <w:bCs w:val="false"/>
        </w:rPr>
        <w:t xml:space="preserve">The pullback in foreign capital follows an even sharper 75% decline in Q1 2026, with analysts citing global economic uncertainty, currency-fluctuation concerns and risk-repatriation requirements as key drivers of the cautious foreign recalibration.</w:t>
      </w:r>
    </w:p>
    <w:p>
      <w:pPr>
        <w:spacing w:after="150"/>
      </w:pPr>
      <w:r>
        <w:rPr>
          <w:i/>
          <w:iCs/>
          <w:color w:val="595959"/>
          <w:sz w:val="18"/>
          <w:szCs w:val="18"/>
        </w:rPr>
        <w:t xml:space="preserve">Sources: New Kerala/business wires (H1 2026 institutional investment, domestic vs foreign split); Aparna Decors (Q1 2026 foreign investment decline).</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India's office market remained resilient in Q2 2026, with gross leasing volumes of approximately 21.4 million sq ft across the top eight cities despite the broader pullback in foreign institutional capital.</w:t>
      </w:r>
    </w:p>
    <w:p>
      <w:pPr>
        <w:pStyle w:val="ListParagraph"/>
        <w:numPr>
          <w:ilvl w:val="0"/>
          <w:numId w:val="2"/>
        </w:numPr>
        <w:spacing w:after="80"/>
      </w:pPr>
      <w:r>
        <w:rPr>
          <w:b w:val="false"/>
          <w:bCs w:val="false"/>
        </w:rPr>
        <w:t xml:space="preserve">FDI in Indian real estate remains permitted for construction-development projects, townships and industrial parks, but stays prohibited for agricultural land, farmhouses and real estate trading — a regulatory backdrop unchanged even as capital composition shifts domestic.</w:t>
      </w:r>
    </w:p>
    <w:p>
      <w:pPr>
        <w:pStyle w:val="ListParagraph"/>
        <w:numPr>
          <w:ilvl w:val="0"/>
          <w:numId w:val="2"/>
        </w:numPr>
        <w:spacing w:after="80"/>
      </w:pPr>
      <w:r>
        <w:rPr>
          <w:b w:val="false"/>
          <w:bCs w:val="false"/>
        </w:rPr>
        <w:t xml:space="preserve">The record domestic share of institutional capital is increasingly flowing toward commercial office and logistics assets, reinforcing local REITs and PE players as the primary drivers of India's real estate capital markets.</w:t>
      </w:r>
    </w:p>
    <w:p>
      <w:pPr>
        <w:spacing w:after="150"/>
      </w:pPr>
      <w:r>
        <w:rPr>
          <w:i/>
          <w:iCs/>
          <w:color w:val="595959"/>
          <w:sz w:val="18"/>
          <w:szCs w:val="18"/>
        </w:rPr>
        <w:t xml:space="preserve">Sources: Business Standard/JLL (Q2 2026 office leasing); NoBroker (FDI regulatory framework); New Kerala (domestic capital allocation trends).</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The sharp decline in foreign investment (down 37% in H1 2026, following a 75% Q1 plunge) is expected to sharpen CREDAI and NAREDCO's pre-Budget advocacy for policies that improve ease of doing business for both domestic and international capital.</w:t>
      </w:r>
    </w:p>
    <w:p>
      <w:pPr>
        <w:pStyle w:val="ListParagraph"/>
        <w:numPr>
          <w:ilvl w:val="0"/>
          <w:numId w:val="2"/>
        </w:numPr>
        <w:spacing w:after="80"/>
      </w:pPr>
      <w:r>
        <w:rPr>
          <w:b w:val="false"/>
          <w:bCs w:val="false"/>
        </w:rPr>
        <w:t xml:space="preserve">Kerala's infrastructure-linked pipeline — Vizhinjam Port, Kochi Metro Phase 2 and Trivandrum's pending metro approval — exemplifies how South Indian states are using public infrastructure investment to sustain real estate registrations even as national capital flows recalibrate toward domestic sources.</w:t>
      </w:r>
    </w:p>
    <w:p>
      <w:pPr>
        <w:pStyle w:val="ListParagraph"/>
        <w:numPr>
          <w:ilvl w:val="0"/>
          <w:numId w:val="2"/>
        </w:numPr>
        <w:spacing w:after="80"/>
      </w:pPr>
      <w:r>
        <w:rPr>
          <w:b w:val="false"/>
          <w:bCs w:val="false"/>
        </w:rPr>
        <w:t xml:space="preserve">Bengaluru's Varthur-Gunjur corridor investment and continued ORR-Whitefield-Nagavara office strength reinforce the case that domestically-driven, infrastructure-anchored growth is increasingly the primary engine of India's real estate cycle.</w:t>
      </w:r>
    </w:p>
    <w:p>
      <w:pPr>
        <w:spacing w:after="150"/>
      </w:pPr>
      <w:r>
        <w:rPr>
          <w:i/>
          <w:iCs/>
          <w:color w:val="595959"/>
          <w:sz w:val="18"/>
          <w:szCs w:val="18"/>
        </w:rPr>
        <w:t xml:space="preserve">Sources: New Kerala; Aparna Decors; Sobha/RealtyPromoo; MyHQ/Cushman &amp; Wakefield.</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2026-09-06T03:40:16.694Z</dcterms:created>
  <dcterms:modified xsi:type="dcterms:W3CDTF">2026-09-06T03:40:16.708Z</dcterms:modified>
</cp:coreProperties>
</file>

<file path=docProps/custom.xml><?xml version="1.0" encoding="utf-8"?>
<Properties xmlns="http://schemas.openxmlformats.org/officeDocument/2006/custom-properties" xmlns:vt="http://schemas.openxmlformats.org/officeDocument/2006/docPropsVTypes"/>
</file>