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Sunday, 19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sold 27,968 housing units in H1 2026 (+5% YoY), while new launches rose 4% to 34,749 units — sustained absorption despite rising prices.</w:t>
      </w:r>
    </w:p>
    <w:p>
      <w:pPr>
        <w:pStyle w:val="ListParagraph"/>
        <w:numPr>
          <w:ilvl w:val="0"/>
          <w:numId w:val="2"/>
        </w:numPr>
        <w:spacing w:after="80"/>
      </w:pPr>
      <w:r>
        <w:rPr>
          <w:b w:val="false"/>
          <w:bCs w:val="false"/>
        </w:rPr>
        <w:t xml:space="preserve">Residential prices climbed 9% YoY to an average of ~₹9,354/sq ft; Knight Frank projects a further 10–12% price increase for full-year 2026, driven by demand, infrastructure expansion and limited supply in key micro-markets.</w:t>
      </w:r>
    </w:p>
    <w:p>
      <w:pPr>
        <w:pStyle w:val="ListParagraph"/>
        <w:numPr>
          <w:ilvl w:val="0"/>
          <w:numId w:val="2"/>
        </w:numPr>
        <w:spacing w:after="80"/>
      </w:pPr>
      <w:r>
        <w:rPr>
          <w:b w:val="false"/>
          <w:bCs w:val="false"/>
        </w:rPr>
        <w:t xml:space="preserve">North Bengaluru is the fastest-growing submarket (+10% growth in launches), while South Bengaluru retains the largest share at 38% (Electronic City, Bannerghatta Road, Kanakapura Road corridors).</w:t>
      </w:r>
    </w:p>
    <w:p>
      <w:pPr>
        <w:pStyle w:val="ListParagraph"/>
        <w:numPr>
          <w:ilvl w:val="0"/>
          <w:numId w:val="2"/>
        </w:numPr>
        <w:spacing w:after="80"/>
      </w:pPr>
      <w:r>
        <w:rPr>
          <w:b w:val="false"/>
          <w:bCs w:val="false"/>
        </w:rPr>
        <w:t xml:space="preserve">Key demand corridors remain Whitefield, Sarjapur Road, Electronic City, Hebbal, Yelahanka, North Bengaluru and Devanahalli, aided by improving connectivity and social infrastructure.</w:t>
      </w:r>
    </w:p>
    <w:p>
      <w:pPr>
        <w:spacing w:after="150"/>
      </w:pPr>
      <w:r>
        <w:rPr>
          <w:i/>
          <w:iCs/>
          <w:color w:val="595959"/>
          <w:sz w:val="18"/>
          <w:szCs w:val="18"/>
        </w:rPr>
        <w:t xml:space="preserve">Sources: Knight Frank India (via G P Media); Cushman &amp; Wakefield Bengaluru MarketBeat; Proppy.ai; 99acres.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posted ~5.1 million sq ft of gross leasing in Q1 2026 and led all Indian cities with a 27% leasing share in Q2 2026; GCCs accounted for 48% of leasing, followed by engineering &amp; manufacturing, flex space and IT-BPM.</w:t>
      </w:r>
    </w:p>
    <w:p>
      <w:pPr>
        <w:pStyle w:val="ListParagraph"/>
        <w:numPr>
          <w:ilvl w:val="0"/>
          <w:numId w:val="2"/>
        </w:numPr>
        <w:spacing w:after="80"/>
      </w:pPr>
      <w:r>
        <w:rPr>
          <w:b w:val="false"/>
          <w:bCs w:val="false"/>
        </w:rPr>
        <w:t xml:space="preserve">Office rents grew ~8% YoY in Q1 2026, with ORR (Bellandur–Marathahalli), Whitefield, CBD, Indiranagar, Koramangala and North Bengaluru (Hebbal/Yelahanka) the key hotspots.</w:t>
      </w:r>
    </w:p>
    <w:p>
      <w:pPr>
        <w:pStyle w:val="ListParagraph"/>
        <w:numPr>
          <w:ilvl w:val="0"/>
          <w:numId w:val="2"/>
        </w:numPr>
        <w:spacing w:after="80"/>
      </w:pPr>
      <w:r>
        <w:rPr>
          <w:b w:val="false"/>
          <w:bCs w:val="false"/>
        </w:rPr>
        <w:t xml:space="preserve">Warehousing: Bengaluru's Grade A/B warehousing net absorption hit 9.1 million sq ft in 2025 (+65% YoY); e-commerce and retail drove over 30% of demand. Amazon India has leased 2.78 lakh sq ft of warehousing space from Assetz Industrial Parks at Billanakote Village, Nelamangala Taluk.</w:t>
      </w:r>
    </w:p>
    <w:p>
      <w:pPr>
        <w:spacing w:after="150"/>
      </w:pPr>
      <w:r>
        <w:rPr>
          <w:i/>
          <w:iCs/>
          <w:color w:val="595959"/>
          <w:sz w:val="18"/>
          <w:szCs w:val="18"/>
        </w:rPr>
        <w:t xml:space="preserve">Sources: Cushman &amp; Wakefield Bengaluru MarketBeat; Real Estate Asia; BigInfo; Newkerala.</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recovered only ₹92 crore of the ₹758 crore owed by builders for delayed or incomplete projects (as of 31 December 2024) — homebuyers remain frustrated at the regulator's limited enforcement capability despite favourable rulings.</w:t>
      </w:r>
    </w:p>
    <w:p>
      <w:pPr>
        <w:pStyle w:val="ListParagraph"/>
        <w:numPr>
          <w:ilvl w:val="0"/>
          <w:numId w:val="2"/>
        </w:numPr>
        <w:spacing w:after="80"/>
      </w:pPr>
      <w:r>
        <w:rPr>
          <w:b w:val="false"/>
          <w:bCs w:val="false"/>
        </w:rPr>
        <w:t xml:space="preserve">The Karnataka High Court has ruled that K-RERA's registry cannot decide on the maintainability of complaints — only the authority's adjudicating officer has that jurisdiction, clarifying the regulator's internal process.</w:t>
      </w:r>
    </w:p>
    <w:p>
      <w:pPr>
        <w:pStyle w:val="ListParagraph"/>
        <w:numPr>
          <w:ilvl w:val="0"/>
          <w:numId w:val="2"/>
        </w:numPr>
        <w:spacing w:after="80"/>
      </w:pPr>
      <w:r>
        <w:rPr>
          <w:b w:val="false"/>
          <w:bCs w:val="false"/>
        </w:rPr>
        <w:t xml:space="preserve">K-RERA has clarified that residential projects which applied for an Occupancy Certificate before 1 May 2017 are exempt from mandatory RERA registration.</w:t>
      </w:r>
    </w:p>
    <w:p>
      <w:pPr>
        <w:spacing w:after="150"/>
      </w:pPr>
      <w:r>
        <w:rPr>
          <w:i/>
          <w:iCs/>
          <w:color w:val="595959"/>
          <w:sz w:val="18"/>
          <w:szCs w:val="18"/>
        </w:rPr>
        <w:t xml:space="preserve">Sources: RERAfiling.com; Credai Karnataka; Karnataka RERA project portal.</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 has overtaken Bengaluru as South India's largest ultra-luxury housing market, recording ₹8,562 crore in FY26 transactions and 625 units sold for homes priced above ₹10 crore — the highest value and volume among southern metros.</w:t>
      </w:r>
    </w:p>
    <w:p>
      <w:pPr>
        <w:pStyle w:val="ListParagraph"/>
        <w:numPr>
          <w:ilvl w:val="0"/>
          <w:numId w:val="2"/>
        </w:numPr>
        <w:spacing w:after="80"/>
      </w:pPr>
      <w:r>
        <w:rPr>
          <w:b w:val="false"/>
          <w:bCs w:val="false"/>
        </w:rPr>
        <w:t xml:space="preserve">Hyderabad sold 19,249 units in H1 2026 (+1% YoY), with market commentary pointing to ~15% YoY growth in property values.</w:t>
      </w:r>
    </w:p>
    <w:p>
      <w:pPr>
        <w:pStyle w:val="ListParagraph"/>
        <w:numPr>
          <w:ilvl w:val="0"/>
          <w:numId w:val="2"/>
        </w:numPr>
        <w:spacing w:after="80"/>
      </w:pPr>
      <w:r>
        <w:rPr>
          <w:b w:val="false"/>
          <w:bCs w:val="false"/>
        </w:rPr>
        <w:t xml:space="preserve">Chennai avoided the price volatility and speculative oversupply seen in other tier-1 cities, selling 9,198 units in H1 2026 (+2–3%) while maintaining range-bound pricing and controlled new launches.</w:t>
      </w:r>
    </w:p>
    <w:p>
      <w:pPr>
        <w:pStyle w:val="ListParagraph"/>
        <w:numPr>
          <w:ilvl w:val="0"/>
          <w:numId w:val="2"/>
        </w:numPr>
        <w:spacing w:after="80"/>
      </w:pPr>
      <w:r>
        <w:rPr>
          <w:b w:val="false"/>
          <w:bCs w:val="false"/>
        </w:rPr>
        <w:t xml:space="preserve">Chennai's luxury housing segment recorded ₹727 crore in FY26 sales — a much smaller ultra-luxury base than Hyderabad's, reflecting Chennai's continued positioning as a value-driven market.</w:t>
      </w:r>
    </w:p>
    <w:p>
      <w:pPr>
        <w:spacing w:after="150"/>
      </w:pPr>
      <w:r>
        <w:rPr>
          <w:i/>
          <w:iCs/>
          <w:color w:val="595959"/>
          <w:sz w:val="18"/>
          <w:szCs w:val="18"/>
        </w:rPr>
        <w:t xml:space="preserve">Sources: IBEF; Telugu Times; Great Andhra; RealtyQuarter / Verified.RealEstate.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Delhi-NCR and Chennai together accounted for more than 45% of India's industrial and warehousing leasing in H1 2026, making Chennai one of the top two logistics clusters nationally.</w:t>
      </w:r>
    </w:p>
    <w:p>
      <w:pPr>
        <w:pStyle w:val="ListParagraph"/>
        <w:numPr>
          <w:ilvl w:val="0"/>
          <w:numId w:val="2"/>
        </w:numPr>
        <w:spacing w:after="80"/>
      </w:pPr>
      <w:r>
        <w:rPr>
          <w:b w:val="false"/>
          <w:bCs w:val="false"/>
        </w:rPr>
        <w:t xml:space="preserve">The Telangana Cabinet has approved merging 27 municipalities and corporations around the Outer Ring Road into the Greater Hyderabad Municipal Corporation (GHMC) — a move that could push Hyderabad into the world's top megacities by population and open new real estate growth corridors.</w:t>
      </w:r>
    </w:p>
    <w:p>
      <w:pPr>
        <w:pStyle w:val="ListParagraph"/>
        <w:numPr>
          <w:ilvl w:val="0"/>
          <w:numId w:val="2"/>
        </w:numPr>
        <w:spacing w:after="80"/>
      </w:pPr>
      <w:r>
        <w:rPr>
          <w:b w:val="false"/>
          <w:bCs w:val="false"/>
        </w:rPr>
        <w:t xml:space="preserve">The Centre has taken up development of the southern stretch of Hyderabad's Regional Ring Road, expected to boost connectivity and unlock further real estate expansion around the city's periphery.</w:t>
      </w:r>
    </w:p>
    <w:p>
      <w:pPr>
        <w:spacing w:after="150"/>
      </w:pPr>
      <w:r>
        <w:rPr>
          <w:i/>
          <w:iCs/>
          <w:color w:val="595959"/>
          <w:sz w:val="18"/>
          <w:szCs w:val="18"/>
        </w:rPr>
        <w:t xml:space="preserve">Sources: UNI India; Telugu Times / Great Andhra.</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Telangana RERA (TG-RERA) continues regular public-disclosure updates via newspapers including Andhra Jyothy, Eenadu, Sakshi and Times of India, as part of its ongoing regulatory-transparency push.</w:t>
      </w:r>
    </w:p>
    <w:p>
      <w:pPr>
        <w:pStyle w:val="ListParagraph"/>
        <w:numPr>
          <w:ilvl w:val="0"/>
          <w:numId w:val="2"/>
        </w:numPr>
        <w:spacing w:after="80"/>
      </w:pPr>
      <w:r>
        <w:rPr>
          <w:b w:val="false"/>
          <w:bCs w:val="false"/>
        </w:rPr>
        <w:t xml:space="preserve">CREDAI's Andhra Pradesh state chapter remains active under CREDAI's state-government-resources programme, coordinating policy engagement with AP state authorities.</w:t>
      </w:r>
    </w:p>
    <w:p>
      <w:pPr>
        <w:pStyle w:val="ListParagraph"/>
        <w:numPr>
          <w:ilvl w:val="0"/>
          <w:numId w:val="2"/>
        </w:numPr>
        <w:spacing w:after="80"/>
      </w:pPr>
      <w:r>
        <w:rPr>
          <w:b w:val="false"/>
          <w:bCs w:val="false"/>
        </w:rPr>
        <w:t xml:space="preserve">CREDAI's national ask for a 3–6 month RERA project-completion extension, citing construction and supply-chain pressures, remains directly relevant to Telangana, Tamil Nadu and Andhra Pradesh developer members.</w:t>
      </w:r>
    </w:p>
    <w:p>
      <w:pPr>
        <w:spacing w:after="150"/>
      </w:pPr>
      <w:r>
        <w:rPr>
          <w:i/>
          <w:iCs/>
          <w:color w:val="595959"/>
          <w:sz w:val="18"/>
          <w:szCs w:val="18"/>
        </w:rPr>
        <w:t xml:space="preserve">Sources: Telangana Today; CREDAI (credai.org); Outlook Money.</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top 8 housing markets sold 1,71,471 units in H1 2026 (+1% YoY), while new launches rose 4% to 1,87,350 units — a market maturing toward stable, selective demand and a growing preference for premium housing.</w:t>
      </w:r>
    </w:p>
    <w:p>
      <w:pPr>
        <w:pStyle w:val="ListParagraph"/>
        <w:numPr>
          <w:ilvl w:val="0"/>
          <w:numId w:val="2"/>
        </w:numPr>
        <w:spacing w:after="80"/>
      </w:pPr>
      <w:r>
        <w:rPr>
          <w:b w:val="false"/>
          <w:bCs w:val="false"/>
        </w:rPr>
        <w:t xml:space="preserve">Premiumisation continues: homes priced above ₹1 crore now account for 54% of total sales (up from 49% a year earlier); the ₹1.5–3 crore segment grew a sharp 67% YoY.</w:t>
      </w:r>
    </w:p>
    <w:p>
      <w:pPr>
        <w:pStyle w:val="ListParagraph"/>
        <w:numPr>
          <w:ilvl w:val="0"/>
          <w:numId w:val="2"/>
        </w:numPr>
        <w:spacing w:after="80"/>
      </w:pPr>
      <w:r>
        <w:rPr>
          <w:b w:val="false"/>
          <w:bCs w:val="false"/>
        </w:rPr>
        <w:t xml:space="preserve">Listed developers are pressing ahead with aggressive launch pipelines: Godrej Properties is planning projects worth ~₹480 billion GDV this fiscal, Puravankara has outlined ~₹210 billion of launches, and Sobha plans to launch 20.67 million sq ft of residential space.</w:t>
      </w:r>
    </w:p>
    <w:p>
      <w:pPr>
        <w:pStyle w:val="ListParagraph"/>
        <w:numPr>
          <w:ilvl w:val="0"/>
          <w:numId w:val="2"/>
        </w:numPr>
        <w:spacing w:after="80"/>
      </w:pPr>
      <w:r>
        <w:rPr>
          <w:b w:val="false"/>
          <w:bCs w:val="false"/>
        </w:rPr>
        <w:t xml:space="preserve">A caution flag: developers added 15,879 more units than the market absorbed in H1 2026, pushing unsold inventory across the top 8 markets up 4% YoY to 5,25,695 units — worth watching for oversupply risk.</w:t>
      </w:r>
    </w:p>
    <w:p>
      <w:pPr>
        <w:spacing w:after="150"/>
      </w:pPr>
      <w:r>
        <w:rPr>
          <w:i/>
          <w:iCs/>
          <w:color w:val="595959"/>
          <w:sz w:val="18"/>
          <w:szCs w:val="18"/>
        </w:rPr>
        <w:t xml:space="preserve">Sources: JLL Residential Dynamics Report; Colliers; Newkerala; Construction World; The Tribune (Knight Frank).</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leasing hit a record 24.6 million sq ft in Q2 2026, building on a strong Q1 2026 (21.9 million sq ft gross leasing, +13% YoY across the top 8 cities).</w:t>
      </w:r>
    </w:p>
    <w:p>
      <w:pPr>
        <w:pStyle w:val="ListParagraph"/>
        <w:numPr>
          <w:ilvl w:val="0"/>
          <w:numId w:val="2"/>
        </w:numPr>
        <w:spacing w:after="80"/>
      </w:pPr>
      <w:r>
        <w:rPr>
          <w:b w:val="false"/>
          <w:bCs w:val="false"/>
        </w:rPr>
        <w:t xml:space="preserve">Industrial &amp; warehousing net absorption reached 34.8 million sq ft in H1 2026 (+2.4% YoY), led by manufacturing (30%) and 3PL operators (23%), with FMCG/FMCD (18%) and e-commerce (10%) also contributing meaningfully.</w:t>
      </w:r>
    </w:p>
    <w:p>
      <w:pPr>
        <w:pStyle w:val="ListParagraph"/>
        <w:numPr>
          <w:ilvl w:val="0"/>
          <w:numId w:val="2"/>
        </w:numPr>
        <w:spacing w:after="80"/>
      </w:pPr>
      <w:r>
        <w:rPr>
          <w:b w:val="false"/>
          <w:bCs w:val="false"/>
        </w:rPr>
        <w:t xml:space="preserve">Fresh industrial/warehousing supply of 42.7 million sq ft was added in H1 2026, with Tier-I cities accounting for 86% of it; Grade-A space absorption rose to 59% (from 55% in H1 2025), reflecting continued ESG- and compliance-led flight to quality.</w:t>
      </w:r>
    </w:p>
    <w:p>
      <w:pPr>
        <w:spacing w:after="150"/>
      </w:pPr>
      <w:r>
        <w:rPr>
          <w:i/>
          <w:iCs/>
          <w:color w:val="595959"/>
          <w:sz w:val="18"/>
          <w:szCs w:val="18"/>
        </w:rPr>
        <w:t xml:space="preserve">Sources: Newkerala; Cushman &amp; Wakefield India Office Market Report; India Tribune / Punjab Kesari; UNI India.</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CREDAI's formal ask for a 3–6 month extension to RERA project-completion timelines — citing construction-cost and supply-chain pressures on builders — remains the sector's live national policy request as of mid-2026.</w:t>
      </w:r>
    </w:p>
    <w:p>
      <w:pPr>
        <w:pStyle w:val="ListParagraph"/>
        <w:numPr>
          <w:ilvl w:val="0"/>
          <w:numId w:val="2"/>
        </w:numPr>
        <w:spacing w:after="80"/>
      </w:pPr>
      <w:r>
        <w:rPr>
          <w:b w:val="false"/>
          <w:bCs w:val="false"/>
        </w:rPr>
        <w:t xml:space="preserve">CREDAI now represents 13,000+ developers across 230 city chapters in 20 states, underscoring its role as the apex body shaping national policy engagement with RERA authorities and the Centre.</w:t>
      </w:r>
    </w:p>
    <w:p>
      <w:pPr>
        <w:pStyle w:val="ListParagraph"/>
        <w:numPr>
          <w:ilvl w:val="0"/>
          <w:numId w:val="2"/>
        </w:numPr>
        <w:spacing w:after="80"/>
      </w:pPr>
      <w:r>
        <w:rPr>
          <w:b w:val="false"/>
          <w:bCs w:val="false"/>
        </w:rPr>
        <w:t xml:space="preserve">CREDAI's property-show format continues nationally, with a recent show showcasing 100 RERA-approved projects — reflecting the sector's continued push to channel homebuyers toward RERA-compliant inventory.</w:t>
      </w:r>
    </w:p>
    <w:p>
      <w:pPr>
        <w:spacing w:after="150"/>
      </w:pPr>
      <w:r>
        <w:rPr>
          <w:i/>
          <w:iCs/>
          <w:color w:val="595959"/>
          <w:sz w:val="18"/>
          <w:szCs w:val="18"/>
        </w:rPr>
        <w:t xml:space="preserve">Sources: CREDAI (credai.org); Outlook Money; The Hans India.</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2026-07-19T03:36:06.988Z</dcterms:created>
  <dcterms:modified xsi:type="dcterms:W3CDTF">2026-07-19T03:36:07.002Z</dcterms:modified>
</cp:coreProperties>
</file>

<file path=docProps/custom.xml><?xml version="1.0" encoding="utf-8"?>
<Properties xmlns="http://schemas.openxmlformats.org/officeDocument/2006/custom-properties" xmlns:vt="http://schemas.openxmlformats.org/officeDocument/2006/docPropsVTypes"/>
</file>