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24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Kengeri is witnessing steady growth with an average price of ₹10,452 per sq ft across five active residential projects, offering relatively affordable housing options compared to central Bengaluru.</w:t>
      </w:r>
    </w:p>
    <w:p>
      <w:pPr>
        <w:pStyle w:val="ListParagraph"/>
        <w:numPr>
          <w:ilvl w:val="0"/>
          <w:numId w:val="2"/>
        </w:numPr>
        <w:spacing w:after="80"/>
      </w:pPr>
      <w:r>
        <w:rPr>
          <w:b w:val="false"/>
          <w:bCs w:val="false"/>
        </w:rPr>
        <w:t xml:space="preserve">Brigade Horizon, a new residential project spanning over 5 acres on Mysore Road near Kengeri, is offering a mix of affordable and premium homes as developer activity in the corridor picks up.</w:t>
      </w:r>
    </w:p>
    <w:p>
      <w:pPr>
        <w:pStyle w:val="ListParagraph"/>
        <w:numPr>
          <w:ilvl w:val="0"/>
          <w:numId w:val="2"/>
        </w:numPr>
        <w:spacing w:after="80"/>
      </w:pPr>
      <w:r>
        <w:rPr>
          <w:b w:val="false"/>
          <w:bCs w:val="false"/>
        </w:rPr>
        <w:t xml:space="preserve">Connectivity in Kengeri has improved significantly following the inauguration of Kengeri Metro Station, the terminal stop of the Purple Line (Reach 4), directly linking the corridor to Whitefield and other core business districts.</w:t>
      </w:r>
    </w:p>
    <w:p>
      <w:pPr>
        <w:spacing w:after="150"/>
      </w:pPr>
      <w:r>
        <w:rPr>
          <w:i/>
          <w:iCs/>
          <w:color w:val="595959"/>
          <w:sz w:val="18"/>
          <w:szCs w:val="18"/>
        </w:rPr>
        <w:t xml:space="preserve">Sources: AurumProptech/SquareYards (Kengeri pricing); PurvaNorthernLight (Brigade Horizon); Wikipedia (Kengeri Metro Station, Purple Line).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Karnataka unveiled a 500 km Bengaluru Metro expansion plan at the KATALYST CONNECT summit on 8 July 2026, targeting support for 500 new Global Capability Centres and 3.5 lakh jobs by 2029.</w:t>
      </w:r>
    </w:p>
    <w:p>
      <w:pPr>
        <w:pStyle w:val="ListParagraph"/>
        <w:numPr>
          <w:ilvl w:val="0"/>
          <w:numId w:val="2"/>
        </w:numPr>
        <w:spacing w:after="80"/>
      </w:pPr>
      <w:r>
        <w:rPr>
          <w:b w:val="false"/>
          <w:bCs w:val="false"/>
        </w:rPr>
        <w:t xml:space="preserve">RR Nagar is set to receive a new flyover and two underpasses — at the Kengeri Road-Ullal Main Road junction and along Annapoorneshwari Nagar Main Road — to decongest traffic near the RR Nagar arch.</w:t>
      </w:r>
    </w:p>
    <w:p>
      <w:pPr>
        <w:pStyle w:val="ListParagraph"/>
        <w:numPr>
          <w:ilvl w:val="0"/>
          <w:numId w:val="2"/>
        </w:numPr>
        <w:spacing w:after="80"/>
      </w:pPr>
      <w:r>
        <w:rPr>
          <w:b w:val="false"/>
          <w:bCs w:val="false"/>
        </w:rPr>
        <w:t xml:space="preserve">The Kengeri Metro Station's Purple Line connectivity to Whitefield is expected to unlock incremental commercial and retail leasing demand along the Mysore Road corridor as cross-city commute times fall.</w:t>
      </w:r>
    </w:p>
    <w:p>
      <w:pPr>
        <w:spacing w:after="150"/>
      </w:pPr>
      <w:r>
        <w:rPr>
          <w:i/>
          <w:iCs/>
          <w:color w:val="595959"/>
          <w:sz w:val="18"/>
          <w:szCs w:val="18"/>
        </w:rPr>
        <w:t xml:space="preserve">Sources: RealtyPromoo (KATALYST CONNECT 500km metro plan); Deccan Herald (RR Nagar flyover, underpasses); Wikipedia.</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continues to track the state's 500 km metro expansion announcement as a transformative long-term driver of project registrations across peripheral corridors like Kengeri and Mysore Road.</w:t>
      </w:r>
    </w:p>
    <w:p>
      <w:pPr>
        <w:pStyle w:val="ListParagraph"/>
        <w:numPr>
          <w:ilvl w:val="0"/>
          <w:numId w:val="2"/>
        </w:numPr>
        <w:spacing w:after="80"/>
      </w:pPr>
      <w:r>
        <w:rPr>
          <w:b w:val="false"/>
          <w:bCs w:val="false"/>
        </w:rPr>
        <w:t xml:space="preserve">K-RERA continues to operate with a partially reconstituted bench following N Jayaram's appointment as Member, even as the chairman post remains vacant since H.C. Kishore Chandra's retirement.</w:t>
      </w:r>
    </w:p>
    <w:p>
      <w:pPr>
        <w:pStyle w:val="ListParagraph"/>
        <w:numPr>
          <w:ilvl w:val="0"/>
          <w:numId w:val="2"/>
        </w:numPr>
        <w:spacing w:after="80"/>
      </w:pPr>
      <w:r>
        <w:rPr>
          <w:b w:val="false"/>
          <w:bCs w:val="false"/>
        </w:rPr>
        <w:t xml:space="preserve">CREDAI Karnataka's ongoing premium-FAR advocacy remains relevant to affordable-housing corridors like Kengeri, where developers are balancing density constraints against strong demand for budget-friendly units.</w:t>
      </w:r>
    </w:p>
    <w:p>
      <w:pPr>
        <w:spacing w:after="150"/>
      </w:pPr>
      <w:r>
        <w:rPr>
          <w:i/>
          <w:iCs/>
          <w:color w:val="595959"/>
          <w:sz w:val="18"/>
          <w:szCs w:val="18"/>
        </w:rPr>
        <w:t xml:space="preserve">Sources: RealtyPromoo; Deccan Herald (K-RERA bench composition).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sold 13,196 homes in the April-June 2026 quarter, up 15% from 11,513 units a year earlier, even as overall sales across India's top eight cities dropped 6% in the same period, per PropTiger's Real Insight report.</w:t>
      </w:r>
    </w:p>
    <w:p>
      <w:pPr>
        <w:pStyle w:val="ListParagraph"/>
        <w:numPr>
          <w:ilvl w:val="0"/>
          <w:numId w:val="2"/>
        </w:numPr>
        <w:spacing w:after="80"/>
      </w:pPr>
      <w:r>
        <w:rPr>
          <w:b w:val="false"/>
          <w:bCs w:val="false"/>
        </w:rPr>
        <w:t xml:space="preserve">Chennai was the only other major city to register growth in the April-June quarter, standing out alongside Hyderabad as the broader national market came under pressure.</w:t>
      </w:r>
    </w:p>
    <w:p>
      <w:pPr>
        <w:pStyle w:val="ListParagraph"/>
        <w:numPr>
          <w:ilvl w:val="0"/>
          <w:numId w:val="2"/>
        </w:numPr>
        <w:spacing w:after="80"/>
      </w:pPr>
      <w:r>
        <w:rPr>
          <w:b w:val="false"/>
          <w:bCs w:val="false"/>
        </w:rPr>
        <w:t xml:space="preserve">Hyderabad, Bengaluru and Chennai together sold 811 ultra-luxury homes (₹10 crore and above) worth ₹11,246 crore in FY26, with Hyderabad alone accounting for 625 units worth ₹8,562 crore.</w:t>
      </w:r>
    </w:p>
    <w:p>
      <w:pPr>
        <w:spacing w:after="150"/>
      </w:pPr>
      <w:r>
        <w:rPr>
          <w:i/>
          <w:iCs/>
          <w:color w:val="595959"/>
          <w:sz w:val="18"/>
          <w:szCs w:val="18"/>
        </w:rPr>
        <w:t xml:space="preserve">Sources: Gulte/PropTiger (April-June 2026 sales data); IBEF/India Sotheby's-CRE Matrix (FY26 ultra-luxury sales report).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Hyderabad's ₹264 crore per acre Raidurg land auction — a new city record set on 21 August 2026 — continues to reinforce institutional confidence in the city's core IT-corridor commercial land values.</w:t>
      </w:r>
    </w:p>
    <w:p>
      <w:pPr>
        <w:pStyle w:val="ListParagraph"/>
        <w:numPr>
          <w:ilvl w:val="0"/>
          <w:numId w:val="2"/>
        </w:numPr>
        <w:spacing w:after="80"/>
      </w:pPr>
      <w:r>
        <w:rPr>
          <w:b w:val="false"/>
          <w:bCs w:val="false"/>
        </w:rPr>
        <w:t xml:space="preserve">On average, a ₹10 crore home in Hyderabad offers around 6,210 sq ft, nearly 58% more space than a comparable Bengaluru home (3,930 sq ft) and significantly more than Chennai (4,290 sq ft), reflecting the city's continued space and pricing advantage.</w:t>
      </w:r>
    </w:p>
    <w:p>
      <w:pPr>
        <w:pStyle w:val="ListParagraph"/>
        <w:numPr>
          <w:ilvl w:val="0"/>
          <w:numId w:val="2"/>
        </w:numPr>
        <w:spacing w:after="80"/>
      </w:pPr>
      <w:r>
        <w:rPr>
          <w:b w:val="false"/>
          <w:bCs w:val="false"/>
        </w:rPr>
        <w:t xml:space="preserve">Hyderabad's continued outperformance (+15% YoY sales) even as the national market cools by 6% signals sustained commercial and ancillary-services demand around the city's residential growth story.</w:t>
      </w:r>
    </w:p>
    <w:p>
      <w:pPr>
        <w:spacing w:after="150"/>
      </w:pPr>
      <w:r>
        <w:rPr>
          <w:i/>
          <w:iCs/>
          <w:color w:val="595959"/>
          <w:sz w:val="18"/>
          <w:szCs w:val="18"/>
        </w:rPr>
        <w:t xml:space="preserve">Sources: SocialNewsXYZ (Raidurg land auction record); IBEF/India Sotheby's-CRE Matrix (luxury home size comparison); Gulte/PropTiger.</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Hyderabad's continued outperformance — 15% YoY sales growth even as the national market cooled 6% — offers CREDAI Telangana further evidence against narratives of a prolonged state-level realty slowdown.</w:t>
      </w:r>
    </w:p>
    <w:p>
      <w:pPr>
        <w:pStyle w:val="ListParagraph"/>
        <w:numPr>
          <w:ilvl w:val="0"/>
          <w:numId w:val="2"/>
        </w:numPr>
        <w:spacing w:after="80"/>
      </w:pPr>
      <w:r>
        <w:rPr>
          <w:b w:val="false"/>
          <w:bCs w:val="false"/>
        </w:rPr>
        <w:t xml:space="preserve">South Indian CREDAI chapters continue to track Karnataka's K-RERA reconstitution and Chennai's CMDA streamlining as reference points for their own regulatory engagement with state governments.</w:t>
      </w:r>
    </w:p>
    <w:p>
      <w:pPr>
        <w:spacing w:after="150"/>
      </w:pPr>
      <w:r>
        <w:rPr>
          <w:i/>
          <w:iCs/>
          <w:color w:val="595959"/>
          <w:sz w:val="18"/>
          <w:szCs w:val="18"/>
        </w:rPr>
        <w:t xml:space="preserve">Sources: Business Standard (MoHUA advisory); Gulte/PropTiger;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Home sales across India's top eight cities fell 6% in the April-June 2026 quarter, with Hyderabad (+15% YoY) and Chennai standing out as the only major markets to register growth against this broader national slowdown.</w:t>
      </w:r>
    </w:p>
    <w:p>
      <w:pPr>
        <w:pStyle w:val="ListParagraph"/>
        <w:numPr>
          <w:ilvl w:val="0"/>
          <w:numId w:val="2"/>
        </w:numPr>
        <w:spacing w:after="80"/>
      </w:pPr>
      <w:r>
        <w:rPr>
          <w:b w:val="false"/>
          <w:bCs w:val="false"/>
        </w:rPr>
        <w:t xml:space="preserve">India's ultra-luxury housing segment (₹10 crore and above) sold 811 homes worth ₹11,246 crore across Hyderabad, Bengaluru and Chennai alone in FY26, underscoring continued premiumisation even as mid-market volumes soften.</w:t>
      </w:r>
    </w:p>
    <w:p>
      <w:pPr>
        <w:pStyle w:val="ListParagraph"/>
        <w:numPr>
          <w:ilvl w:val="0"/>
          <w:numId w:val="2"/>
        </w:numPr>
        <w:spacing w:after="80"/>
      </w:pPr>
      <w:r>
        <w:rPr>
          <w:b w:val="false"/>
          <w:bCs w:val="false"/>
        </w:rPr>
        <w:t xml:space="preserve">Hyderabad's space advantage — 6,210 sq ft for a ₹10 crore home versus 3,930 sq ft in Bengaluru — illustrates how city-level land economics are increasingly shaping luxury buyers' city choices nationally.</w:t>
      </w:r>
    </w:p>
    <w:p>
      <w:pPr>
        <w:spacing w:after="150"/>
      </w:pPr>
      <w:r>
        <w:rPr>
          <w:i/>
          <w:iCs/>
          <w:color w:val="595959"/>
          <w:sz w:val="18"/>
          <w:szCs w:val="18"/>
        </w:rPr>
        <w:t xml:space="preserve">Sources: Gulte/PropTiger (top-8-city Q2 2026 sales); IBEF/India Sotheby's-CRE Matrix (FY26 ultra-luxury report).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Karnataka's newly unveiled 500 km Bengaluru Metro expansion — targeting 500 new GCCs and 3.5 lakh jobs by 2029 — represents one of the most ambitious state-level transit and commercial real estate commitments announced nationally this year.</w:t>
      </w:r>
    </w:p>
    <w:p>
      <w:pPr>
        <w:pStyle w:val="ListParagraph"/>
        <w:numPr>
          <w:ilvl w:val="0"/>
          <w:numId w:val="2"/>
        </w:numPr>
        <w:spacing w:after="80"/>
      </w:pPr>
      <w:r>
        <w:rPr>
          <w:b w:val="false"/>
          <w:bCs w:val="false"/>
        </w:rPr>
        <w:t xml:space="preserve">Hyderabad's record ₹264 crore per acre Raidurg land auction and its continued sales outperformance together illustrate the city's growing weight in India's national commercial and residential investment story.</w:t>
      </w:r>
    </w:p>
    <w:p>
      <w:pPr>
        <w:pStyle w:val="ListParagraph"/>
        <w:numPr>
          <w:ilvl w:val="0"/>
          <w:numId w:val="2"/>
        </w:numPr>
        <w:spacing w:after="80"/>
      </w:pPr>
      <w:r>
        <w:rPr>
          <w:b w:val="false"/>
          <w:bCs w:val="false"/>
        </w:rPr>
        <w:t xml:space="preserve">India's ultra-luxury segment's ₹11,246 crore FY26 sales haul across just three southern cities highlights premiumisation as a structural, nationally significant trend rather than a localised phenomenon.</w:t>
      </w:r>
    </w:p>
    <w:p>
      <w:pPr>
        <w:spacing w:after="150"/>
      </w:pPr>
      <w:r>
        <w:rPr>
          <w:i/>
          <w:iCs/>
          <w:color w:val="595959"/>
          <w:sz w:val="18"/>
          <w:szCs w:val="18"/>
        </w:rPr>
        <w:t xml:space="preserve">Sources: RealtyPromoo (KATALYST CONNECT); SocialNewsXYZ; IBEF/India Sotheby's-CRE Matrix.</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nationally.</w:t>
      </w:r>
    </w:p>
    <w:p>
      <w:pPr>
        <w:pStyle w:val="ListParagraph"/>
        <w:numPr>
          <w:ilvl w:val="0"/>
          <w:numId w:val="2"/>
        </w:numPr>
        <w:spacing w:after="80"/>
      </w:pPr>
      <w:r>
        <w:rPr>
          <w:b w:val="false"/>
          <w:bCs w:val="false"/>
        </w:rPr>
        <w:t xml:space="preserve">Hyderabad and Chennai's outperformance amid a 6% national sales decline is prompting renewed CREDAI discussion on regional demand divergence and its implications for state-level RERA and policy priorities.</w:t>
      </w:r>
    </w:p>
    <w:p>
      <w:pPr>
        <w:pStyle w:val="ListParagraph"/>
        <w:numPr>
          <w:ilvl w:val="0"/>
          <w:numId w:val="2"/>
        </w:numPr>
        <w:spacing w:after="80"/>
      </w:pPr>
      <w:r>
        <w:rPr>
          <w:b w:val="false"/>
          <w:bCs w:val="false"/>
        </w:rPr>
        <w:t xml:space="preserve">Karnataka's gradual K-RERA reconstitution and its ambitious 500 km metro expansion plan together illustrate the state's dual focus on regulatory governance and long-term infrastructure-led real estate growth.</w:t>
      </w:r>
    </w:p>
    <w:p>
      <w:pPr>
        <w:spacing w:after="150"/>
      </w:pPr>
      <w:r>
        <w:rPr>
          <w:i/>
          <w:iCs/>
          <w:color w:val="595959"/>
          <w:sz w:val="18"/>
          <w:szCs w:val="18"/>
        </w:rPr>
        <w:t xml:space="preserve">Sources: Business Standard; Gulte/PropTiger; RealtyPromoo/Deccan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2026-08-24T03:42:19.924Z</dcterms:created>
  <dcterms:modified xsi:type="dcterms:W3CDTF">2026-08-24T03:42:19.936Z</dcterms:modified>
</cp:coreProperties>
</file>

<file path=docProps/custom.xml><?xml version="1.0" encoding="utf-8"?>
<Properties xmlns="http://schemas.openxmlformats.org/officeDocument/2006/custom-properties" xmlns:vt="http://schemas.openxmlformats.org/officeDocument/2006/docPropsVTypes"/>
</file>