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4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average asking price has climbed to around ₹12,100 per sq ft by mid-2026, up from roughly ₹10,950 in September 2025, with the luxury segment (homes above ₹1.5 crore) now accounting for close to 63% of the market.</w:t>
      </w:r>
    </w:p>
    <w:p>
      <w:pPr>
        <w:pStyle w:val="ListParagraph"/>
        <w:numPr>
          <w:ilvl w:val="0"/>
          <w:numId w:val="2"/>
        </w:numPr>
        <w:spacing w:after="80"/>
      </w:pPr>
      <w:r>
        <w:rPr>
          <w:b w:val="false"/>
          <w:bCs w:val="false"/>
        </w:rPr>
        <w:t xml:space="preserve">Citywide housing sales rose approximately 15% YoY, while H1 2026 new launches crossed 25,000 units — a record first half — reflecting continued developer confidence in the city's premium and mid-income segments alike.</w:t>
      </w:r>
    </w:p>
    <w:p>
      <w:pPr>
        <w:pStyle w:val="ListParagraph"/>
        <w:numPr>
          <w:ilvl w:val="0"/>
          <w:numId w:val="2"/>
        </w:numPr>
        <w:spacing w:after="80"/>
      </w:pPr>
      <w:r>
        <w:rPr>
          <w:b w:val="false"/>
          <w:bCs w:val="false"/>
        </w:rPr>
        <w:t xml:space="preserve">Bengaluru-based Prestige Estates Projects booked ₹6,579 crore in Q1 FY27 sales — down sharply from ₹12,126 crore a year earlier on fewer launches — while fellow Bengaluru developer Sobha nearly doubled its bookings to ₹3,656 crore from ₹2,079 crore, underscoring sharply divergent launch-timing effects within the same city.</w:t>
      </w:r>
    </w:p>
    <w:p>
      <w:pPr>
        <w:spacing w:after="150"/>
      </w:pPr>
      <w:r>
        <w:rPr>
          <w:i/>
          <w:iCs/>
          <w:color w:val="595959"/>
          <w:sz w:val="18"/>
          <w:szCs w:val="18"/>
        </w:rPr>
        <w:t xml:space="preserve">Sources: Sobha/NoBroker Times (Bengaluru 2026 pricing, sales, launch trends); Business Standard/Millennium Post (Prestige Estates and Sobha Q1 FY27 results).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Karnataka government has increased permissible Floor Area Ratio (FAR) by up to 60% in select zones, allowing taller buildings and more efficient land use as the state looks to accommodate Bengaluru's continued launch and leasing momentum.</w:t>
      </w:r>
    </w:p>
    <w:p>
      <w:pPr>
        <w:pStyle w:val="ListParagraph"/>
        <w:numPr>
          <w:ilvl w:val="0"/>
          <w:numId w:val="2"/>
        </w:numPr>
        <w:spacing w:after="80"/>
      </w:pPr>
      <w:r>
        <w:rPr>
          <w:b w:val="false"/>
          <w:bCs w:val="false"/>
        </w:rPr>
        <w:t xml:space="preserve">e-Khata has become mandatory for all property registrations within BBMP limits since November 2025, with the system now integrated into building-plan approvals via the OBPS portal since mid-2026 to streamline commercial and residential project clearances.</w:t>
      </w:r>
    </w:p>
    <w:p>
      <w:pPr>
        <w:pStyle w:val="ListParagraph"/>
        <w:numPr>
          <w:ilvl w:val="0"/>
          <w:numId w:val="2"/>
        </w:numPr>
        <w:spacing w:after="80"/>
      </w:pPr>
      <w:r>
        <w:rPr>
          <w:b w:val="false"/>
          <w:bCs w:val="false"/>
        </w:rPr>
        <w:t xml:space="preserve">Karnataka is distributing 10 lakh BBMP/GBA e-Khata certificates across Bengaluru under an April 2026 special window, while cutting the B-Khata-to-A-Khata conversion fee from 5% to 2% to accelerate property-record digitisation.</w:t>
      </w:r>
    </w:p>
    <w:p>
      <w:pPr>
        <w:spacing w:after="150"/>
      </w:pPr>
      <w:r>
        <w:rPr>
          <w:i/>
          <w:iCs/>
          <w:color w:val="595959"/>
          <w:sz w:val="18"/>
          <w:szCs w:val="18"/>
        </w:rPr>
        <w:t xml:space="preserve">Sources: Karnataka.com (FAR increase); NoBroker/Vault PropTech (e-Khata mandate, OBPS integration, certificate distribution, conversion fee cut).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combination of Karnataka's 60% FAR increase and the mandatory e-Khata digitisation regime marks one of the state's most significant regulatory shifts of the year, requiring CREDAI Karnataka members to align upcoming launches with revised density and registration norms.</w:t>
      </w:r>
    </w:p>
    <w:p>
      <w:pPr>
        <w:pStyle w:val="ListParagraph"/>
        <w:numPr>
          <w:ilvl w:val="0"/>
          <w:numId w:val="2"/>
        </w:numPr>
        <w:spacing w:after="80"/>
      </w:pPr>
      <w:r>
        <w:rPr>
          <w:b w:val="false"/>
          <w:bCs w:val="false"/>
        </w:rPr>
        <w:t xml:space="preserve">Bengaluru-based Prestige Estates' sharp Q1 FY27 bookings decline versus Sobha's near-doubling illustrates how launch-pipeline timing, rather than underlying demand, is increasingly differentiating developer performance within Karnataka's own market.</w:t>
      </w:r>
    </w:p>
    <w:p>
      <w:pPr>
        <w:pStyle w:val="ListParagraph"/>
        <w:numPr>
          <w:ilvl w:val="0"/>
          <w:numId w:val="2"/>
        </w:numPr>
        <w:spacing w:after="80"/>
      </w:pPr>
      <w:r>
        <w:rPr>
          <w:b w:val="false"/>
          <w:bCs w:val="false"/>
        </w:rPr>
        <w:t xml:space="preserve">The state's continued e-Khata rollout is expected to complement K-RERA's registration oversight by reducing fraudulent property transactions and improving title-record transparency for homebuyers statewide.</w:t>
      </w:r>
    </w:p>
    <w:p>
      <w:pPr>
        <w:spacing w:after="150"/>
      </w:pPr>
      <w:r>
        <w:rPr>
          <w:i/>
          <w:iCs/>
          <w:color w:val="595959"/>
          <w:sz w:val="18"/>
          <w:szCs w:val="18"/>
        </w:rPr>
        <w:t xml:space="preserve">Sources: Karnataka.com; NoBroker/Vault PropTech; Business Standard/Millennium Post.</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real estate market is booming into 2026-27, powered by Global Capability Centres, an expanding IT sector and the ₹63,000-crore Chennai Metro Phase 2 expansion, with property rates spanning ₹4,000 to over ₹21,000 per sq ft across the city.</w:t>
      </w:r>
    </w:p>
    <w:p>
      <w:pPr>
        <w:pStyle w:val="ListParagraph"/>
        <w:numPr>
          <w:ilvl w:val="0"/>
          <w:numId w:val="2"/>
        </w:numPr>
        <w:spacing w:after="80"/>
      </w:pPr>
      <w:r>
        <w:rPr>
          <w:b w:val="false"/>
          <w:bCs w:val="false"/>
        </w:rPr>
        <w:t xml:space="preserve">Mid-segment housing now accounts for over 70% of Chennai's new launches, with Sholinganallur, T Nagar and Porur leading buyer demand as Metro Phase 2 connectivity reshapes preference toward well-linked suburban corridors.</w:t>
      </w:r>
    </w:p>
    <w:p>
      <w:pPr>
        <w:pStyle w:val="ListParagraph"/>
        <w:numPr>
          <w:ilvl w:val="0"/>
          <w:numId w:val="2"/>
        </w:numPr>
        <w:spacing w:after="80"/>
      </w:pPr>
      <w:r>
        <w:rPr>
          <w:b w:val="false"/>
          <w:bCs w:val="false"/>
        </w:rPr>
        <w:t xml:space="preserve">Chennai's housing sales more than doubled to 7,862 units in the July-September period, from 3,560 units a year earlier, reflecting one of South India's strongest year-on-year residential demand recoveries.</w:t>
      </w:r>
    </w:p>
    <w:p>
      <w:pPr>
        <w:spacing w:after="150"/>
      </w:pPr>
      <w:r>
        <w:rPr>
          <w:i/>
          <w:iCs/>
          <w:color w:val="595959"/>
          <w:sz w:val="18"/>
          <w:szCs w:val="18"/>
        </w:rPr>
        <w:t xml:space="preserve">Sources: Brigade Group (Chennai 2026-27 market outlook, Metro Phase 2 investment); 99acres (Chennai property rate range); Business Standard (Chennai Q3 sales growth).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 Metro Phase 2's ₹63,000-crore build-out is expected to be a multi-year catalyst for commercial and retail development along its corridor, reinforcing GCC and IT-led office demand in micro-markets like Sholinganallur and Porur.</w:t>
      </w:r>
    </w:p>
    <w:p>
      <w:pPr>
        <w:pStyle w:val="ListParagraph"/>
        <w:numPr>
          <w:ilvl w:val="0"/>
          <w:numId w:val="2"/>
        </w:numPr>
        <w:spacing w:after="80"/>
      </w:pPr>
      <w:r>
        <w:rPr>
          <w:b w:val="false"/>
          <w:bCs w:val="false"/>
        </w:rPr>
        <w:t xml:space="preserve">The shift toward mid-segment housing (over 70% of new Chennai launches) signals developers recalibrating product mix toward broader affordability even as premium micro-markets continue to command ₹21,000+ per sq ft.</w:t>
      </w:r>
    </w:p>
    <w:p>
      <w:pPr>
        <w:pStyle w:val="ListParagraph"/>
        <w:numPr>
          <w:ilvl w:val="0"/>
          <w:numId w:val="2"/>
        </w:numPr>
        <w:spacing w:after="80"/>
      </w:pPr>
      <w:r>
        <w:rPr>
          <w:b w:val="false"/>
          <w:bCs w:val="false"/>
        </w:rPr>
        <w:t xml:space="preserve">Continued GCC and IT-sector expansion across Chennai is sustaining demand for both Grade-A office space and adjoining residential catchments along the city's key transit corridors.</w:t>
      </w:r>
    </w:p>
    <w:p>
      <w:pPr>
        <w:spacing w:after="150"/>
      </w:pPr>
      <w:r>
        <w:rPr>
          <w:i/>
          <w:iCs/>
          <w:color w:val="595959"/>
          <w:sz w:val="18"/>
          <w:szCs w:val="18"/>
        </w:rPr>
        <w:t xml:space="preserve">Sources: Brigade Group; 99acres; Business Standard.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Tamil Nadu CREDAI members are expected to closely track Chennai Metro Phase 2's ₹63,000-crore rollout as a long-term anchor for new project registrations along the expanding corridor over the next several years.</w:t>
      </w:r>
    </w:p>
    <w:p>
      <w:pPr>
        <w:pStyle w:val="ListParagraph"/>
        <w:numPr>
          <w:ilvl w:val="0"/>
          <w:numId w:val="2"/>
        </w:numPr>
        <w:spacing w:after="80"/>
      </w:pPr>
      <w:r>
        <w:rPr>
          <w:b w:val="false"/>
          <w:bCs w:val="false"/>
        </w:rPr>
        <w:t xml:space="preserve">The sharp rebound in Chennai's Q3 housing sales (more than doubling YoY) offers South Indian CREDAI chapters further evidence of resilient demand even as national listed-developer sales bookings soften this earnings season.</w:t>
      </w:r>
    </w:p>
    <w:p>
      <w:pPr>
        <w:pStyle w:val="ListParagraph"/>
        <w:numPr>
          <w:ilvl w:val="0"/>
          <w:numId w:val="2"/>
        </w:numPr>
        <w:spacing w:after="80"/>
      </w:pPr>
      <w:r>
        <w:rPr>
          <w:b w:val="false"/>
          <w:bCs w:val="false"/>
        </w:rPr>
        <w:t xml:space="preserve">With mid-segment housing now dominating Chennai's launch pipeline, Tamil Nadu's regulatory and industry bodies are likely to keep affordability and RERA-compliant disclosure at the centre of registration discussions through the rest of 2026.</w:t>
      </w:r>
    </w:p>
    <w:p>
      <w:pPr>
        <w:spacing w:after="150"/>
      </w:pPr>
      <w:r>
        <w:rPr>
          <w:i/>
          <w:iCs/>
          <w:color w:val="595959"/>
          <w:sz w:val="18"/>
          <w:szCs w:val="18"/>
        </w:rPr>
        <w:t xml:space="preserve">Sources: Brigade Group; Business Standard; 99acres.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Collective sales bookings of 28 major listed Indian real estate companies fell 21% YoY to ₹39,964 crore in Q1 FY27, down from ₹50,900 crore a year earlier, as lower volumes and fewer new launches weighed on performance amid global economic uncertainty.</w:t>
      </w:r>
    </w:p>
    <w:p>
      <w:pPr>
        <w:pStyle w:val="ListParagraph"/>
        <w:numPr>
          <w:ilvl w:val="0"/>
          <w:numId w:val="2"/>
        </w:numPr>
        <w:spacing w:after="80"/>
      </w:pPr>
      <w:r>
        <w:rPr>
          <w:b w:val="false"/>
          <w:bCs w:val="false"/>
        </w:rPr>
        <w:t xml:space="preserve">DLF's bookings plunged to just ₹657 crore from ₹11,425 crore a year earlier, yet the company's consolidated net profit still rose 4% to ₹794 crore despite a 46% fall in total income — pointing to a deliberate launch pause rather than underlying distress.</w:t>
      </w:r>
    </w:p>
    <w:p>
      <w:pPr>
        <w:pStyle w:val="ListParagraph"/>
        <w:numPr>
          <w:ilvl w:val="0"/>
          <w:numId w:val="2"/>
        </w:numPr>
        <w:spacing w:after="80"/>
      </w:pPr>
      <w:r>
        <w:rPr>
          <w:b w:val="false"/>
          <w:bCs w:val="false"/>
        </w:rPr>
        <w:t xml:space="preserve">Despite the Q1 pullback, India's top listed developers are collectively targeting ₹1.82 lakh crore in FY27 sales bookings, a projected 22.3% rise, betting on a stronger H2 launch pipeline to offset the soft start to the year.</w:t>
      </w:r>
    </w:p>
    <w:p>
      <w:pPr>
        <w:spacing w:after="150"/>
      </w:pPr>
      <w:r>
        <w:rPr>
          <w:i/>
          <w:iCs/>
          <w:color w:val="595959"/>
          <w:sz w:val="18"/>
          <w:szCs w:val="18"/>
        </w:rPr>
        <w:t xml:space="preserve">Sources: Millennium Post/Business Standard (28-company Q1 FY27 bookings decline, DLF results); ConstructionWorld/Business Standard (FY27 sales target).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21% YoY decline in aggregate listed-developer bookings was driven primarily by fewer project launches nationally, as several large developers deferred new phases amid rising construction costs and cautious buyer sentiment.</w:t>
      </w:r>
    </w:p>
    <w:p>
      <w:pPr>
        <w:pStyle w:val="ListParagraph"/>
        <w:numPr>
          <w:ilvl w:val="0"/>
          <w:numId w:val="2"/>
        </w:numPr>
        <w:spacing w:after="80"/>
      </w:pPr>
      <w:r>
        <w:rPr>
          <w:b w:val="false"/>
          <w:bCs w:val="false"/>
        </w:rPr>
        <w:t xml:space="preserve">Performance diverged sharply by company: while DLF and Prestige Estates posted steep declines, Sobha and Godrej Properties grew bookings YoY, showing launch-pipeline timing — not demand alone — is driving this earnings season's results.</w:t>
      </w:r>
    </w:p>
    <w:p>
      <w:pPr>
        <w:pStyle w:val="ListParagraph"/>
        <w:numPr>
          <w:ilvl w:val="0"/>
          <w:numId w:val="2"/>
        </w:numPr>
        <w:spacing w:after="80"/>
      </w:pPr>
      <w:r>
        <w:rPr>
          <w:b w:val="false"/>
          <w:bCs w:val="false"/>
        </w:rPr>
        <w:t xml:space="preserve">Continued large-scale infrastructure investment, such as Chennai's ₹63,000-crore Metro Phase 2 and Karnataka's FAR liberalisation, illustrates how state-level infrastructure and policy decisions are increasingly shaping where commercial and residential capital flows nationally.</w:t>
      </w:r>
    </w:p>
    <w:p>
      <w:pPr>
        <w:spacing w:after="150"/>
      </w:pPr>
      <w:r>
        <w:rPr>
          <w:i/>
          <w:iCs/>
          <w:color w:val="595959"/>
          <w:sz w:val="18"/>
          <w:szCs w:val="18"/>
        </w:rPr>
        <w:t xml:space="preserve">Sources: Millennium Post/Business Standard; Brigade Group; Karnataka.com.</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With aggregate listed-developer bookings down 21% YoY in Q1 FY27, CREDAI and NAREDCO are likely to intensify pre-Budget advocacy for demand-side incentives to help the sector meet its collective ₹1.82-lakh-crore FY27 sales target.</w:t>
      </w:r>
    </w:p>
    <w:p>
      <w:pPr>
        <w:pStyle w:val="ListParagraph"/>
        <w:numPr>
          <w:ilvl w:val="0"/>
          <w:numId w:val="2"/>
        </w:numPr>
        <w:spacing w:after="80"/>
      </w:pPr>
      <w:r>
        <w:rPr>
          <w:b w:val="false"/>
          <w:bCs w:val="false"/>
        </w:rPr>
        <w:t xml:space="preserve">Karnataka's mandatory e-Khata digitisation and 60% FAR increase are being watched nationally as a potential template for property-record transparency and density reform that other states' RERAs and planning authorities may look to replicate.</w:t>
      </w:r>
    </w:p>
    <w:p>
      <w:pPr>
        <w:pStyle w:val="ListParagraph"/>
        <w:numPr>
          <w:ilvl w:val="0"/>
          <w:numId w:val="2"/>
        </w:numPr>
        <w:spacing w:after="80"/>
      </w:pPr>
      <w:r>
        <w:rPr>
          <w:b w:val="false"/>
          <w:bCs w:val="false"/>
        </w:rPr>
        <w:t xml:space="preserve">The sharp divergence in developer performance this quarter — DLF's steep decline versus Sobha's near-doubling — is expected to keep industry bodies focused on launch-pipeline discipline as a key theme in FY27 regulatory and policy discussions.</w:t>
      </w:r>
    </w:p>
    <w:p>
      <w:pPr>
        <w:spacing w:after="150"/>
      </w:pPr>
      <w:r>
        <w:rPr>
          <w:i/>
          <w:iCs/>
          <w:color w:val="595959"/>
          <w:sz w:val="18"/>
          <w:szCs w:val="18"/>
        </w:rPr>
        <w:t xml:space="preserve">Sources: Millennium Post/Business Standard; Karnataka.com/NoBroker.</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2026-09-04T03:40:31.488Z</dcterms:created>
  <dcterms:modified xsi:type="dcterms:W3CDTF">2026-09-04T03:40:31.502Z</dcterms:modified>
</cp:coreProperties>
</file>

<file path=docProps/custom.xml><?xml version="1.0" encoding="utf-8"?>
<Properties xmlns="http://schemas.openxmlformats.org/officeDocument/2006/custom-properties" xmlns:vt="http://schemas.openxmlformats.org/officeDocument/2006/docPropsVTypes"/>
</file>