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Morning Real Estate News Digest</w:t>
      </w:r>
    </w:p>
    <w:p>
      <w:pPr>
        <w:spacing w:after="60"/>
        <w:jc w:val="center"/>
      </w:pPr>
      <w:r>
        <w:rPr>
          <w:color w:val="555555"/>
          <w:sz w:val="24"/>
          <w:szCs w:val="24"/>
        </w:rPr>
        <w:t xml:space="preserve">India &amp; Bengaluru Real Estate — Daily Roundup</w:t>
      </w:r>
    </w:p>
    <w:p>
      <w:pPr>
        <w:pBdr>
          <w:bottom w:val="single" w:color="CCCCCC" w:sz="6" w:space="8"/>
        </w:pBdr>
        <w:spacing w:after="200"/>
        <w:jc w:val="center"/>
      </w:pPr>
      <w:r>
        <w:rPr>
          <w:color w:val="888888"/>
          <w:sz w:val="22"/>
          <w:szCs w:val="22"/>
        </w:rPr>
        <w:t xml:space="preserve">Sunday, 2 August 2026</w:t>
      </w:r>
    </w:p>
    <w:p>
      <w:pPr>
        <w:pStyle w:val="Heading1"/>
        <w:spacing w:after="150" w:before="300"/>
      </w:pPr>
      <w:r>
        <w:t xml:space="preserve">ET Realty</w:t>
      </w:r>
    </w:p>
    <w:p>
      <w:pPr>
        <w:pStyle w:val="ListParagraph"/>
        <w:numPr>
          <w:ilvl w:val="0"/>
          <w:numId w:val="2"/>
        </w:numPr>
        <w:spacing w:after="100"/>
      </w:pPr>
      <w:r>
        <w:t xml:space="preserve">No new developments reported today; standing coverage continues to note Piramal Enterprises' investment in Puravankara Group, Century Real Estate's ₹1,062 crore sales bookings and planned ₹3,000 crore East Bengaluru project, and high absorption in the ₹1.5–2.5 crore ticket-size segment.</w:t>
      </w:r>
    </w:p>
    <w:p>
      <w:pPr>
        <w:spacing w:after="300"/>
      </w:pPr>
      <w:r>
        <w:rPr>
          <w:i/>
          <w:iCs/>
          <w:color w:val="666666"/>
          <w:sz w:val="18"/>
          <w:szCs w:val="18"/>
        </w:rPr>
        <w:t xml:space="preserve">Source: </w:t>
      </w:r>
      <w:hyperlink w:history="1" r:id="rIdupfnbarqi0liqwazuyshm">
        <w:r>
          <w:rPr>
            <w:rStyle w:val="Hyperlink"/>
            <w:sz w:val="18"/>
            <w:szCs w:val="18"/>
          </w:rPr>
          <w:t xml:space="preserve">https://realty.economictimes.indiatimes.com/</w:t>
        </w:r>
      </w:hyperlink>
    </w:p>
    <w:p>
      <w:pPr>
        <w:pStyle w:val="Heading1"/>
        <w:spacing w:after="150" w:before="300"/>
      </w:pPr>
      <w:r>
        <w:t xml:space="preserve">Cushman &amp; Wakefield — MarketBeat</w:t>
      </w:r>
    </w:p>
    <w:p>
      <w:pPr>
        <w:pStyle w:val="ListParagraph"/>
        <w:numPr>
          <w:ilvl w:val="0"/>
          <w:numId w:val="2"/>
        </w:numPr>
        <w:spacing w:after="100"/>
      </w:pPr>
      <w:r>
        <w:t xml:space="preserve">Delhi NCR, Chennai, and Bengaluru have emerged as India's top real estate investment destinations, with core assets remaining the preferred choice and REIT participation and corporate office acquisitions continuing to strengthen through 2026.</w:t>
      </w:r>
    </w:p>
    <w:p>
      <w:pPr>
        <w:pStyle w:val="ListParagraph"/>
        <w:numPr>
          <w:ilvl w:val="0"/>
          <w:numId w:val="2"/>
        </w:numPr>
        <w:spacing w:after="100"/>
      </w:pPr>
      <w:r>
        <w:t xml:space="preserve">India's economy remained resilient through FY2025-26, with GDP growth of 7.7% despite rising inflation and global uncertainties — a supportive backdrop for the investment outlook.</w:t>
      </w:r>
    </w:p>
    <w:p>
      <w:pPr>
        <w:spacing w:after="300"/>
      </w:pPr>
      <w:r>
        <w:rPr>
          <w:i/>
          <w:iCs/>
          <w:color w:val="666666"/>
          <w:sz w:val="18"/>
          <w:szCs w:val="18"/>
        </w:rPr>
        <w:t xml:space="preserve">Source: </w:t>
      </w:r>
      <w:hyperlink w:history="1" r:id="rIdxrjhfdktm6_cdvh8qdmki">
        <w:r>
          <w:rPr>
            <w:rStyle w:val="Hyperlink"/>
            <w:sz w:val="18"/>
            <w:szCs w:val="18"/>
          </w:rPr>
          <w:t xml:space="preserve">https://www.cushmanwakefield.com/en/india/insights</w:t>
        </w:r>
      </w:hyperlink>
    </w:p>
    <w:p>
      <w:pPr>
        <w:pStyle w:val="Heading1"/>
        <w:spacing w:after="150" w:before="300"/>
      </w:pPr>
      <w:r>
        <w:t xml:space="preserve">CREDAI</w:t>
      </w:r>
    </w:p>
    <w:p>
      <w:pPr>
        <w:pStyle w:val="ListParagraph"/>
        <w:numPr>
          <w:ilvl w:val="0"/>
          <w:numId w:val="2"/>
        </w:numPr>
        <w:spacing w:after="100"/>
      </w:pPr>
      <w:r>
        <w:t xml:space="preserve">CREDAI Bengaluru traces its roots to 1982 as the Karnataka Ownership Apartments Promoters Association (KOAPA), rebranding as CREDAI Bengaluru in 1999; CREDAI Karnataka, the dedicated state-level body, was formed in 2011 and now spans 11 active city chapters and over 590 developer members.</w:t>
      </w:r>
    </w:p>
    <w:p>
      <w:pPr>
        <w:pStyle w:val="ListParagraph"/>
        <w:numPr>
          <w:ilvl w:val="0"/>
          <w:numId w:val="2"/>
        </w:numPr>
        <w:spacing w:after="100"/>
      </w:pPr>
      <w:r>
        <w:t xml:space="preserve">The organisation's FAR policy advocacy, e-khata concerns, and stamp-duty representations to the Karnataka government remain its standing open issues, alongside Bengaluru's continued 15% share of India's residential sales (2024) and lowest inventory overhang among major cities.</w:t>
      </w:r>
    </w:p>
    <w:p>
      <w:pPr>
        <w:spacing w:after="300"/>
      </w:pPr>
      <w:r>
        <w:rPr>
          <w:i/>
          <w:iCs/>
          <w:color w:val="666666"/>
          <w:sz w:val="18"/>
          <w:szCs w:val="18"/>
        </w:rPr>
        <w:t xml:space="preserve">Source: </w:t>
      </w:r>
      <w:hyperlink w:history="1" r:id="rIdklmjentemyd-_rpgnxuol">
        <w:r>
          <w:rPr>
            <w:rStyle w:val="Hyperlink"/>
            <w:sz w:val="18"/>
            <w:szCs w:val="18"/>
          </w:rPr>
          <w:t xml:space="preserve">https://credai.org/home/</w:t>
        </w:r>
      </w:hyperlink>
    </w:p>
    <w:p>
      <w:pPr>
        <w:pStyle w:val="Heading1"/>
        <w:spacing w:after="150" w:before="300"/>
      </w:pPr>
      <w:r>
        <w:t xml:space="preserve">RERA</w:t>
      </w:r>
    </w:p>
    <w:p>
      <w:pPr>
        <w:pStyle w:val="ListParagraph"/>
        <w:numPr>
          <w:ilvl w:val="0"/>
          <w:numId w:val="2"/>
        </w:numPr>
        <w:spacing w:after="100"/>
      </w:pPr>
      <w:r>
        <w:t xml:space="preserve">K-RERA, headquartered on Mission Road in Bengaluru and functioning as the regular authority since March 2019, expects its systems — under maintenance since late July — to be fully operational again by 5 August, after which pending requests will be prioritised.</w:t>
      </w:r>
    </w:p>
    <w:p>
      <w:pPr>
        <w:pStyle w:val="ListParagraph"/>
        <w:numPr>
          <w:ilvl w:val="0"/>
          <w:numId w:val="2"/>
        </w:numPr>
        <w:spacing w:after="100"/>
      </w:pPr>
      <w:r>
        <w:t xml:space="preserve">The authority's registered base remains at 8,357+ projects and 5,417+ agents.</w:t>
      </w:r>
    </w:p>
    <w:p>
      <w:pPr>
        <w:spacing w:after="300"/>
      </w:pPr>
      <w:r>
        <w:rPr>
          <w:i/>
          <w:iCs/>
          <w:color w:val="666666"/>
          <w:sz w:val="18"/>
          <w:szCs w:val="18"/>
        </w:rPr>
        <w:t xml:space="preserve">Source: </w:t>
      </w:r>
      <w:hyperlink w:history="1" r:id="rIdle0i1jf6ggk-r1jkuy8pz">
        <w:r>
          <w:rPr>
            <w:rStyle w:val="Hyperlink"/>
            <w:sz w:val="18"/>
            <w:szCs w:val="18"/>
          </w:rPr>
          <w:t xml:space="preserve">https://rera.karnataka.gov.in/home?language=en/</w:t>
        </w:r>
      </w:hyperlink>
    </w:p>
    <w:p>
      <w:pPr>
        <w:pStyle w:val="Heading1"/>
        <w:spacing w:after="150" w:before="300"/>
      </w:pPr>
      <w:r>
        <w:t xml:space="preserve">IBEF</w:t>
      </w:r>
    </w:p>
    <w:p>
      <w:pPr>
        <w:pStyle w:val="ListParagraph"/>
        <w:numPr>
          <w:ilvl w:val="0"/>
          <w:numId w:val="2"/>
        </w:numPr>
        <w:spacing w:after="100"/>
      </w:pPr>
      <w:r>
        <w:t xml:space="preserve">The National Real Estate Policy 2025's unified single-window clearance system continues to be highlighted as a key reform aimed at cutting project approval delays by up to 40%.</w:t>
      </w:r>
    </w:p>
    <w:p>
      <w:pPr>
        <w:pStyle w:val="ListParagraph"/>
        <w:numPr>
          <w:ilvl w:val="0"/>
          <w:numId w:val="2"/>
        </w:numPr>
        <w:spacing w:after="100"/>
      </w:pPr>
      <w:r>
        <w:t xml:space="preserve">India is emerging as one of the fastest-growing APAC destinations for institutional capital across office, logistics, and data centre assets in 2026, building on record Q1 2026 capital inflows of ₹4.76 lakh crore (US$5.1 billion).</w:t>
      </w:r>
    </w:p>
    <w:p>
      <w:pPr>
        <w:spacing w:after="300"/>
      </w:pPr>
      <w:r>
        <w:rPr>
          <w:i/>
          <w:iCs/>
          <w:color w:val="666666"/>
          <w:sz w:val="18"/>
          <w:szCs w:val="18"/>
        </w:rPr>
        <w:t xml:space="preserve">Source: </w:t>
      </w:r>
      <w:hyperlink w:history="1" r:id="rIdiqj8jzi-zvijklomwxzxd">
        <w:r>
          <w:rPr>
            <w:rStyle w:val="Hyperlink"/>
            <w:sz w:val="18"/>
            <w:szCs w:val="18"/>
          </w:rPr>
          <w:t xml:space="preserve">https://www.ibef.org/industry/real-estate-india</w:t>
        </w:r>
      </w:hyperlink>
    </w:p>
    <w:p>
      <w:pPr>
        <w:spacing w:before="300"/>
      </w:pPr>
      <w:r>
        <w:rPr>
          <w:i/>
          <w:iCs/>
          <w:color w:val="999999"/>
          <w:sz w:val="18"/>
          <w:szCs w:val="18"/>
        </w:rPr>
        <w:t xml:space="preserve">Compiled automatically each morning from ET Realty, Cushman &amp; Wakefield MarketBeat, CREDAI, RERA, and IBEF. Figures reflect the latest publicly available reporting at compile time and may lag same-day announcements.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pfnbarqi0liqwazuyshm" Type="http://schemas.openxmlformats.org/officeDocument/2006/relationships/hyperlink" Target="https://realty.economictimes.indiatimes.com/" TargetMode="External"/><Relationship Id="rIdxrjhfdktm6_cdvh8qdmki" Type="http://schemas.openxmlformats.org/officeDocument/2006/relationships/hyperlink" Target="https://www.cushmanwakefield.com/en/india/insights" TargetMode="External"/><Relationship Id="rIdklmjentemyd-_rpgnxuol" Type="http://schemas.openxmlformats.org/officeDocument/2006/relationships/hyperlink" Target="https://credai.org/home/" TargetMode="External"/><Relationship Id="rIdle0i1jf6ggk-r1jkuy8pz" Type="http://schemas.openxmlformats.org/officeDocument/2006/relationships/hyperlink" Target="https://rera.karnataka.gov.in/home?language=en/" TargetMode="External"/><Relationship Id="rIdiqj8jzi-zvijklomwxzxd" Type="http://schemas.openxmlformats.org/officeDocument/2006/relationships/hyperlink" Target="https://www.ibef.org/industry/real-estate-india"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2026-08-02T03:39:15.171Z</dcterms:created>
  <dcterms:modified xsi:type="dcterms:W3CDTF">2026-08-02T03:39:15.188Z</dcterms:modified>
</cp:coreProperties>
</file>

<file path=docProps/custom.xml><?xml version="1.0" encoding="utf-8"?>
<Properties xmlns="http://schemas.openxmlformats.org/officeDocument/2006/custom-properties" xmlns:vt="http://schemas.openxmlformats.org/officeDocument/2006/docPropsVTypes"/>
</file>