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Friday, 11 September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Century Real Estate's ₹3,000 crore East Bengaluru project and ₹1,062 crore Q2 sales bookings, and Piramal Enterprises' investment in Puravankara Group.</w:t>
      </w:r>
    </w:p>
    <w:p>
      <w:pPr>
        <w:spacing w:after="300"/>
      </w:pPr>
      <w:r>
        <w:rPr>
          <w:i/>
          <w:iCs/>
          <w:color w:val="666666"/>
          <w:sz w:val="18"/>
          <w:szCs w:val="18"/>
        </w:rPr>
        <w:t xml:space="preserve">Source: </w:t>
      </w:r>
      <w:hyperlink w:history="1" r:id="rId2bkjwi-wgrski7wp7k_4q">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Follow-up on yesterday's land markets report: improved connectivity through expressways and other infrastructure is also making satellite cities more accessible, widening the scope of development beyond established urban centres, per Cushman &amp; Wakefield's commentary on the 18,159-acre, five-year land transactions trend.</w:t>
      </w:r>
    </w:p>
    <w:p>
      <w:pPr>
        <w:pStyle w:val="ListParagraph"/>
        <w:numPr>
          <w:ilvl w:val="0"/>
          <w:numId w:val="2"/>
        </w:numPr>
        <w:spacing w:after="100"/>
      </w:pPr>
      <w:r>
        <w:t xml:space="preserve">The underlying figures — 892 deals across 33 cities, ~1.4 billion sq ft of potential built-up area, and an estimated ₹16.67 trillion in revenue potential — remain as reported yesterday and are not restated as new.</w:t>
      </w:r>
    </w:p>
    <w:p>
      <w:pPr>
        <w:spacing w:after="300"/>
      </w:pPr>
      <w:r>
        <w:rPr>
          <w:i/>
          <w:iCs/>
          <w:color w:val="666666"/>
          <w:sz w:val="18"/>
          <w:szCs w:val="18"/>
        </w:rPr>
        <w:t xml:space="preserve">Source: </w:t>
      </w:r>
      <w:hyperlink w:history="1" r:id="rIdsnxl--ykef2egej_q5hus">
        <w:r>
          <w:rPr>
            <w:rStyle w:val="Hyperlink"/>
            <w:sz w:val="18"/>
            <w:szCs w:val="18"/>
          </w:rPr>
          <w:t xml:space="preserve">https://www.cushmanwakefield.com/en/india/news</w:t>
        </w:r>
      </w:hyperlink>
    </w:p>
    <w:p>
      <w:pPr>
        <w:pStyle w:val="Heading1"/>
        <w:spacing w:after="150" w:before="300"/>
      </w:pPr>
      <w:r>
        <w:t xml:space="preserve">CREDAI</w:t>
      </w:r>
    </w:p>
    <w:p>
      <w:pPr>
        <w:pStyle w:val="ListParagraph"/>
        <w:numPr>
          <w:ilvl w:val="0"/>
          <w:numId w:val="2"/>
        </w:numPr>
        <w:spacing w:after="100"/>
      </w:pPr>
      <w:r>
        <w:t xml:space="preserve">CREDAI Bengaluru's e-khata representation was addressed not only to Revenue Minister Krishna Byre Gowda but also to Munish Moudgil, the Special Commissioner (Revenue) of BBMP — the first time this official has been named in connection with the letter.</w:t>
      </w:r>
    </w:p>
    <w:p>
      <w:pPr>
        <w:pStyle w:val="ListParagraph"/>
        <w:numPr>
          <w:ilvl w:val="0"/>
          <w:numId w:val="2"/>
        </w:numPr>
        <w:spacing w:after="100"/>
      </w:pPr>
      <w:r>
        <w:t xml:space="preserve">Standing backdrop: Bengaluru's ~₹12,100/sq ft average asking price, up from ~₹10,950/sq ft in September 2025.</w:t>
      </w:r>
    </w:p>
    <w:p>
      <w:pPr>
        <w:spacing w:after="300"/>
      </w:pPr>
      <w:r>
        <w:rPr>
          <w:i/>
          <w:iCs/>
          <w:color w:val="666666"/>
          <w:sz w:val="18"/>
          <w:szCs w:val="18"/>
        </w:rPr>
        <w:t xml:space="preserve">Source: </w:t>
      </w:r>
      <w:hyperlink w:history="1" r:id="rIdas3lvsdor6e7tdlhikakw">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No new K-RERA rulings surfaced today; the authority's penalty enforcement against builders who missed FY2024–25 annual audit report deadlines remains the standing enforcement story, with the FY2023–24 deadline (extended to 20 January) also entering its penalty phase.</w:t>
      </w:r>
    </w:p>
    <w:p>
      <w:pPr>
        <w:spacing w:after="300"/>
      </w:pPr>
      <w:r>
        <w:rPr>
          <w:i/>
          <w:iCs/>
          <w:color w:val="666666"/>
          <w:sz w:val="18"/>
          <w:szCs w:val="18"/>
        </w:rPr>
        <w:t xml:space="preserve">Source: </w:t>
      </w:r>
      <w:hyperlink w:history="1" r:id="rId7c94kbof6a5iysc0betye">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No new developments reported today; standing figures remain India's institutional real estate investment rising 23% YoY to ₹40,801 crore (US$4.33 billion) in H1 2026, and the Union Budget 2026–27's ₹12.20 lakh crore infrastructure-led urban development push.</w:t>
      </w:r>
    </w:p>
    <w:p>
      <w:pPr>
        <w:spacing w:after="300"/>
      </w:pPr>
      <w:r>
        <w:rPr>
          <w:i/>
          <w:iCs/>
          <w:color w:val="666666"/>
          <w:sz w:val="18"/>
          <w:szCs w:val="18"/>
        </w:rPr>
        <w:t xml:space="preserve">Source: </w:t>
      </w:r>
      <w:hyperlink w:history="1" r:id="rIdaujpbe1c66heqtvq3tfxb">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bkjwi-wgrski7wp7k_4q" Type="http://schemas.openxmlformats.org/officeDocument/2006/relationships/hyperlink" Target="https://realty.economictimes.indiatimes.com/" TargetMode="External"/><Relationship Id="rIdsnxl--ykef2egej_q5hus" Type="http://schemas.openxmlformats.org/officeDocument/2006/relationships/hyperlink" Target="https://www.cushmanwakefield.com/en/india/news" TargetMode="External"/><Relationship Id="rIdas3lvsdor6e7tdlhikakw" Type="http://schemas.openxmlformats.org/officeDocument/2006/relationships/hyperlink" Target="https://credai.org/home/" TargetMode="External"/><Relationship Id="rId7c94kbof6a5iysc0betye" Type="http://schemas.openxmlformats.org/officeDocument/2006/relationships/hyperlink" Target="https://rera.karnataka.gov.in/home?language=en/" TargetMode="External"/><Relationship Id="rIdaujpbe1c66heqtvq3tfxb"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2026-09-11T03:41:30.444Z</dcterms:created>
  <dcterms:modified xsi:type="dcterms:W3CDTF">2026-09-11T03:41:30.454Z</dcterms:modified>
</cp:coreProperties>
</file>

<file path=docProps/custom.xml><?xml version="1.0" encoding="utf-8"?>
<Properties xmlns="http://schemas.openxmlformats.org/officeDocument/2006/custom-properties" xmlns:vt="http://schemas.openxmlformats.org/officeDocument/2006/docPropsVTypes"/>
</file>