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Morning Real Estate News Digest</w:t>
      </w:r>
    </w:p>
    <w:p>
      <w:pPr>
        <w:spacing w:after="60"/>
        <w:jc w:val="center"/>
      </w:pPr>
      <w:r>
        <w:rPr>
          <w:color w:val="555555"/>
          <w:sz w:val="24"/>
          <w:szCs w:val="24"/>
        </w:rPr>
        <w:t xml:space="preserve">India &amp; Bengaluru Real Estate — Daily Roundup</w:t>
      </w:r>
    </w:p>
    <w:p>
      <w:pPr>
        <w:pBdr>
          <w:bottom w:val="single" w:color="CCCCCC" w:sz="6" w:space="8"/>
        </w:pBdr>
        <w:spacing w:after="200"/>
        <w:jc w:val="center"/>
      </w:pPr>
      <w:r>
        <w:rPr>
          <w:color w:val="888888"/>
          <w:sz w:val="22"/>
          <w:szCs w:val="22"/>
        </w:rPr>
        <w:t xml:space="preserve">Saturday, 25 July 2026</w:t>
      </w:r>
    </w:p>
    <w:p>
      <w:pPr>
        <w:pStyle w:val="Heading1"/>
        <w:spacing w:after="150" w:before="300"/>
      </w:pPr>
      <w:r>
        <w:t xml:space="preserve">ET Realty</w:t>
      </w:r>
    </w:p>
    <w:p>
      <w:pPr>
        <w:pStyle w:val="ListParagraph"/>
        <w:numPr>
          <w:ilvl w:val="0"/>
          <w:numId w:val="2"/>
        </w:numPr>
        <w:spacing w:after="100"/>
      </w:pPr>
      <w:r>
        <w:t xml:space="preserve">No new developments reported today; standing coverage continues to centre on Century Real Estate's more-than-doubled sales bookings (₹1,062 crore) and its planned ₹3,000 crore East Bengaluru mixed-use project, alongside Piramal Enterprises' investment in Puravankara Group.</w:t>
      </w:r>
    </w:p>
    <w:p>
      <w:pPr>
        <w:spacing w:after="300"/>
      </w:pPr>
      <w:r>
        <w:rPr>
          <w:i/>
          <w:iCs/>
          <w:color w:val="666666"/>
          <w:sz w:val="18"/>
          <w:szCs w:val="18"/>
        </w:rPr>
        <w:t xml:space="preserve">Source: </w:t>
      </w:r>
      <w:hyperlink w:history="1" r:id="rIdc5vrcwo3k-ohzcljzle-7">
        <w:r>
          <w:rPr>
            <w:rStyle w:val="Hyperlink"/>
            <w:sz w:val="18"/>
            <w:szCs w:val="18"/>
          </w:rPr>
          <w:t xml:space="preserve">https://realty.economictimes.indiatimes.com/</w:t>
        </w:r>
      </w:hyperlink>
    </w:p>
    <w:p>
      <w:pPr>
        <w:pStyle w:val="Heading1"/>
        <w:spacing w:after="150" w:before="300"/>
      </w:pPr>
      <w:r>
        <w:t xml:space="preserve">Cushman &amp; Wakefield — MarketBeat</w:t>
      </w:r>
    </w:p>
    <w:p>
      <w:pPr>
        <w:pStyle w:val="ListParagraph"/>
        <w:numPr>
          <w:ilvl w:val="0"/>
          <w:numId w:val="2"/>
        </w:numPr>
        <w:spacing w:after="100"/>
      </w:pPr>
      <w:r>
        <w:t xml:space="preserve">Institutional investors are increasingly pursuing portfolio and multi-city deals to achieve greater scale and diversification, per Cushman &amp; Wakefield's latest Q2 2026 investment commentary — building on the previously reported US$1.9 billion Q2 figure (up 16% QoQ, down 7% YoY).</w:t>
      </w:r>
    </w:p>
    <w:p>
      <w:pPr>
        <w:pStyle w:val="ListParagraph"/>
        <w:numPr>
          <w:ilvl w:val="0"/>
          <w:numId w:val="2"/>
        </w:numPr>
        <w:spacing w:after="100"/>
      </w:pPr>
      <w:r>
        <w:t xml:space="preserve">H2 2026 institutional investment activity is expected to hold stable, supported by India's macroeconomic fundamentals and continued infrastructure-led growth.</w:t>
      </w:r>
    </w:p>
    <w:p>
      <w:pPr>
        <w:spacing w:after="300"/>
      </w:pPr>
      <w:r>
        <w:rPr>
          <w:i/>
          <w:iCs/>
          <w:color w:val="666666"/>
          <w:sz w:val="18"/>
          <w:szCs w:val="18"/>
        </w:rPr>
        <w:t xml:space="preserve">Source: </w:t>
      </w:r>
      <w:hyperlink w:history="1" r:id="rIdxrw7zlfrp5vok8sxrarfh">
        <w:r>
          <w:rPr>
            <w:rStyle w:val="Hyperlink"/>
            <w:sz w:val="18"/>
            <w:szCs w:val="18"/>
          </w:rPr>
          <w:t xml:space="preserve">https://www.cushmanwakefield.com/en/india/news</w:t>
        </w:r>
      </w:hyperlink>
    </w:p>
    <w:p>
      <w:pPr>
        <w:pStyle w:val="Heading1"/>
        <w:spacing w:after="150" w:before="300"/>
      </w:pPr>
      <w:r>
        <w:t xml:space="preserve">CREDAI</w:t>
      </w:r>
    </w:p>
    <w:p>
      <w:pPr>
        <w:pStyle w:val="ListParagraph"/>
        <w:numPr>
          <w:ilvl w:val="0"/>
          <w:numId w:val="2"/>
        </w:numPr>
        <w:spacing w:after="100"/>
      </w:pPr>
      <w:r>
        <w:t xml:space="preserve">Karnataka has opened public feedback on the draft Karnataka Apartment (Ownership and Management) Bill, 2026 (KAOMA) until 6 August; Chief Minister DK Shivakumar has committed to passing the bill during the upcoming Monsoon Session of the legislature.</w:t>
      </w:r>
    </w:p>
    <w:p>
      <w:pPr>
        <w:pStyle w:val="ListParagraph"/>
        <w:numPr>
          <w:ilvl w:val="0"/>
          <w:numId w:val="2"/>
        </w:numPr>
        <w:spacing w:after="100"/>
      </w:pPr>
      <w:r>
        <w:t xml:space="preserve">CREDAI Bengaluru continues to press the state government to reconsider Floor Area Ratio caps under the draft Uniform Zonal Regulations, arguing current limits do not align with the city's growing population and housing demand.</w:t>
      </w:r>
    </w:p>
    <w:p>
      <w:pPr>
        <w:spacing w:after="300"/>
      </w:pPr>
      <w:r>
        <w:rPr>
          <w:i/>
          <w:iCs/>
          <w:color w:val="666666"/>
          <w:sz w:val="18"/>
          <w:szCs w:val="18"/>
        </w:rPr>
        <w:t xml:space="preserve">Source: </w:t>
      </w:r>
      <w:hyperlink w:history="1" r:id="rIdtiwmvxxstn9e32quqelfr">
        <w:r>
          <w:rPr>
            <w:rStyle w:val="Hyperlink"/>
            <w:sz w:val="18"/>
            <w:szCs w:val="18"/>
          </w:rPr>
          <w:t xml:space="preserve">https://credai.org/home/</w:t>
        </w:r>
      </w:hyperlink>
    </w:p>
    <w:p>
      <w:pPr>
        <w:pStyle w:val="Heading1"/>
        <w:spacing w:after="150" w:before="300"/>
      </w:pPr>
      <w:r>
        <w:t xml:space="preserve">RERA</w:t>
      </w:r>
    </w:p>
    <w:p>
      <w:pPr>
        <w:pStyle w:val="ListParagraph"/>
        <w:numPr>
          <w:ilvl w:val="0"/>
          <w:numId w:val="2"/>
        </w:numPr>
        <w:spacing w:after="100"/>
      </w:pPr>
      <w:r>
        <w:t xml:space="preserve">Retired IAS officer N. Jayaram has been appointed as a Member of Karnataka RERA, filling a vacancy on the authority; his tenure runs five years from taking charge or until age 65, whichever comes first. Jayaram, a 2004-batch IAS officer, previously served as Secretary to then-Chief Minister Siddaramaiah.</w:t>
      </w:r>
    </w:p>
    <w:p>
      <w:pPr>
        <w:pStyle w:val="ListParagraph"/>
        <w:numPr>
          <w:ilvl w:val="0"/>
          <w:numId w:val="2"/>
        </w:numPr>
        <w:spacing w:after="100"/>
      </w:pPr>
      <w:r>
        <w:t xml:space="preserve">K-RERA's registered base remains at 8,357+ projects and 5,417+ agents, with its ₹79.84 lakh delay-interest order against Adarsh Nivas Pvt. Ltd. continuing to stand as its most recent published enforcement action.</w:t>
      </w:r>
    </w:p>
    <w:p>
      <w:pPr>
        <w:spacing w:after="300"/>
      </w:pPr>
      <w:r>
        <w:rPr>
          <w:i/>
          <w:iCs/>
          <w:color w:val="666666"/>
          <w:sz w:val="18"/>
          <w:szCs w:val="18"/>
        </w:rPr>
        <w:t xml:space="preserve">Source: </w:t>
      </w:r>
      <w:hyperlink w:history="1" r:id="rIddmufbmxzqdks6nufknqv8">
        <w:r>
          <w:rPr>
            <w:rStyle w:val="Hyperlink"/>
            <w:sz w:val="18"/>
            <w:szCs w:val="18"/>
          </w:rPr>
          <w:t xml:space="preserve">https://rera.karnataka.gov.in/home?language=en/</w:t>
        </w:r>
      </w:hyperlink>
    </w:p>
    <w:p>
      <w:pPr>
        <w:pStyle w:val="Heading1"/>
        <w:spacing w:after="150" w:before="300"/>
      </w:pPr>
      <w:r>
        <w:t xml:space="preserve">IBEF</w:t>
      </w:r>
    </w:p>
    <w:p>
      <w:pPr>
        <w:pStyle w:val="ListParagraph"/>
        <w:numPr>
          <w:ilvl w:val="0"/>
          <w:numId w:val="2"/>
        </w:numPr>
        <w:spacing w:after="100"/>
      </w:pPr>
      <w:r>
        <w:t xml:space="preserve">India's housing market is shifting toward larger, premium homes: 36% of buyers now prefer properties priced between ₹90 lakh and ₹1.5 crore (US$102,052–170,087).</w:t>
      </w:r>
    </w:p>
    <w:p>
      <w:pPr>
        <w:pStyle w:val="ListParagraph"/>
        <w:numPr>
          <w:ilvl w:val="0"/>
          <w:numId w:val="2"/>
        </w:numPr>
        <w:spacing w:after="100"/>
      </w:pPr>
      <w:r>
        <w:t xml:space="preserve">India's real estate sector attracted US$2.9 billion in institutional investment in Q2 CY2026, with Chennai and Bengaluru together driving 27% of inflows.</w:t>
      </w:r>
    </w:p>
    <w:p>
      <w:pPr>
        <w:spacing w:after="300"/>
      </w:pPr>
      <w:r>
        <w:rPr>
          <w:i/>
          <w:iCs/>
          <w:color w:val="666666"/>
          <w:sz w:val="18"/>
          <w:szCs w:val="18"/>
        </w:rPr>
        <w:t xml:space="preserve">Source: </w:t>
      </w:r>
      <w:hyperlink w:history="1" r:id="rIdz_hvikej3dolih5quhap2">
        <w:r>
          <w:rPr>
            <w:rStyle w:val="Hyperlink"/>
            <w:sz w:val="18"/>
            <w:szCs w:val="18"/>
          </w:rPr>
          <w:t xml:space="preserve">https://www.ibef.org/industry/real-estate-india</w:t>
        </w:r>
      </w:hyperlink>
    </w:p>
    <w:p>
      <w:pPr>
        <w:spacing w:before="300"/>
      </w:pPr>
      <w:r>
        <w:rPr>
          <w:i/>
          <w:iCs/>
          <w:color w:val="999999"/>
          <w:sz w:val="18"/>
          <w:szCs w:val="18"/>
        </w:rPr>
        <w:t xml:space="preserve">Compiled automatically each morning from ET Realty, Cushman &amp; Wakefield MarketBeat, CREDAI, RERA, and IBEF. Figures reflect the latest publicly available reporting at compile time and may lag same-day announcements.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5vrcwo3k-ohzcljzle-7" Type="http://schemas.openxmlformats.org/officeDocument/2006/relationships/hyperlink" Target="https://realty.economictimes.indiatimes.com/" TargetMode="External"/><Relationship Id="rIdxrw7zlfrp5vok8sxrarfh" Type="http://schemas.openxmlformats.org/officeDocument/2006/relationships/hyperlink" Target="https://www.cushmanwakefield.com/en/india/news" TargetMode="External"/><Relationship Id="rIdtiwmvxxstn9e32quqelfr" Type="http://schemas.openxmlformats.org/officeDocument/2006/relationships/hyperlink" Target="https://credai.org/home/" TargetMode="External"/><Relationship Id="rIddmufbmxzqdks6nufknqv8" Type="http://schemas.openxmlformats.org/officeDocument/2006/relationships/hyperlink" Target="https://rera.karnataka.gov.in/home?language=en/" TargetMode="External"/><Relationship Id="rIdz_hvikej3dolih5quhap2" Type="http://schemas.openxmlformats.org/officeDocument/2006/relationships/hyperlink" Target="https://www.ibef.org/industry/real-estate-india"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2026-07-25T03:39:14.040Z</dcterms:created>
  <dcterms:modified xsi:type="dcterms:W3CDTF">2026-07-25T03:39:14.057Z</dcterms:modified>
</cp:coreProperties>
</file>

<file path=docProps/custom.xml><?xml version="1.0" encoding="utf-8"?>
<Properties xmlns="http://schemas.openxmlformats.org/officeDocument/2006/custom-properties" xmlns:vt="http://schemas.openxmlformats.org/officeDocument/2006/docPropsVTypes"/>
</file>