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Tuesday, 18 August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Godrej Properties' ₹240 billion and Prestige Estates' ₹223 billion 9MFY26 pre-sales, Century Real Estate's ₹1,062 crore Q2 sales bookings, and Bengaluru's strong NRI investment appeal (24.35% of UAE respondents).</w:t>
      </w:r>
    </w:p>
    <w:p>
      <w:pPr>
        <w:spacing w:after="300"/>
      </w:pPr>
      <w:r>
        <w:rPr>
          <w:i/>
          <w:iCs/>
          <w:color w:val="666666"/>
          <w:sz w:val="18"/>
          <w:szCs w:val="18"/>
        </w:rPr>
        <w:t xml:space="preserve">Source: </w:t>
      </w:r>
      <w:hyperlink w:history="1" r:id="rId7bdhrvc3m03sld1q8-qov">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No new release surfaced today; standing figures remain Q1 2026 India office gross leasing of 21.9 MSF (+13% YoY) and a positive investment outlook for the rest of 2026 backed by strong domestic capital pools and expanding REIT portfolios.</w:t>
      </w:r>
    </w:p>
    <w:p>
      <w:pPr>
        <w:spacing w:after="300"/>
      </w:pPr>
      <w:r>
        <w:rPr>
          <w:i/>
          <w:iCs/>
          <w:color w:val="666666"/>
          <w:sz w:val="18"/>
          <w:szCs w:val="18"/>
        </w:rPr>
        <w:t xml:space="preserve">Source: </w:t>
      </w:r>
      <w:hyperlink w:history="1" r:id="rIdmbrvwsryvroxtrigwmqp9">
        <w:r>
          <w:rPr>
            <w:rStyle w:val="Hyperlink"/>
            <w:sz w:val="18"/>
            <w:szCs w:val="18"/>
          </w:rPr>
          <w:t xml:space="preserve">https://www.cushmanwakefield.com/en/india/news</w:t>
        </w:r>
      </w:hyperlink>
    </w:p>
    <w:p>
      <w:pPr>
        <w:pStyle w:val="Heading1"/>
        <w:spacing w:after="150" w:before="300"/>
      </w:pPr>
      <w:r>
        <w:t xml:space="preserve">CREDAI</w:t>
      </w:r>
    </w:p>
    <w:p>
      <w:pPr>
        <w:pStyle w:val="ListParagraph"/>
        <w:numPr>
          <w:ilvl w:val="0"/>
          <w:numId w:val="2"/>
        </w:numPr>
        <w:spacing w:after="100"/>
      </w:pPr>
      <w:r>
        <w:t xml:space="preserve">No new developments reported today; Bengaluru's 15% share of national residential sales (2024, 70,000 of 4 lakh homes sold nationally) and its lead in India's H1 2026 commercial leasing (14.1 million sq ft) remain the standing storylines, alongside CREDAI Bengaluru's ongoing reform advocacy with the Karnataka government.</w:t>
      </w:r>
    </w:p>
    <w:p>
      <w:pPr>
        <w:spacing w:after="300"/>
      </w:pPr>
      <w:r>
        <w:rPr>
          <w:i/>
          <w:iCs/>
          <w:color w:val="666666"/>
          <w:sz w:val="18"/>
          <w:szCs w:val="18"/>
        </w:rPr>
        <w:t xml:space="preserve">Source: </w:t>
      </w:r>
      <w:hyperlink w:history="1" r:id="rIdil1n3kouehupd19z3hfo-">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No new K-RERA rulings surfaced today; the authority's crackdown on unregistered projects and the MoHUA-recommended four-month force-majeure extension for West Asia conflict-impacted projects (completion deadlines on or after 28 February 2026) remain the most recent developments.</w:t>
      </w:r>
    </w:p>
    <w:p>
      <w:pPr>
        <w:spacing w:after="300"/>
      </w:pPr>
      <w:r>
        <w:rPr>
          <w:i/>
          <w:iCs/>
          <w:color w:val="666666"/>
          <w:sz w:val="18"/>
          <w:szCs w:val="18"/>
        </w:rPr>
        <w:t xml:space="preserve">Source: </w:t>
      </w:r>
      <w:hyperlink w:history="1" r:id="rIdv7cmjbzu2rsa2xe0-juyu">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institutional real estate investment rose 23% YoY to ₹40,801 crore (US$4.33 billion) in H1 2026 across a record 54 transactions, with domestic investors contributing a record 64% share; full-year 2026 investment is projected at ₹80,096–84,807 crore (US$8.50–9.00 billion).</w:t>
      </w:r>
    </w:p>
    <w:p>
      <w:pPr>
        <w:spacing w:after="300"/>
      </w:pPr>
      <w:r>
        <w:rPr>
          <w:i/>
          <w:iCs/>
          <w:color w:val="666666"/>
          <w:sz w:val="18"/>
          <w:szCs w:val="18"/>
        </w:rPr>
        <w:t xml:space="preserve">Source: </w:t>
      </w:r>
      <w:hyperlink w:history="1" r:id="rIdr709nmcaid_mrc7zw4ble">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bdhrvc3m03sld1q8-qov" Type="http://schemas.openxmlformats.org/officeDocument/2006/relationships/hyperlink" Target="https://realty.economictimes.indiatimes.com/" TargetMode="External"/><Relationship Id="rIdmbrvwsryvroxtrigwmqp9" Type="http://schemas.openxmlformats.org/officeDocument/2006/relationships/hyperlink" Target="https://www.cushmanwakefield.com/en/india/news" TargetMode="External"/><Relationship Id="rIdil1n3kouehupd19z3hfo-" Type="http://schemas.openxmlformats.org/officeDocument/2006/relationships/hyperlink" Target="https://credai.org/home/" TargetMode="External"/><Relationship Id="rIdv7cmjbzu2rsa2xe0-juyu" Type="http://schemas.openxmlformats.org/officeDocument/2006/relationships/hyperlink" Target="https://rera.karnataka.gov.in/home?language=en/" TargetMode="External"/><Relationship Id="rIdr709nmcaid_mrc7zw4ble"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2026-08-18T03:39:22.342Z</dcterms:created>
  <dcterms:modified xsi:type="dcterms:W3CDTF">2026-08-18T03:39:22.357Z</dcterms:modified>
</cp:coreProperties>
</file>

<file path=docProps/custom.xml><?xml version="1.0" encoding="utf-8"?>
<Properties xmlns="http://schemas.openxmlformats.org/officeDocument/2006/custom-properties" xmlns:vt="http://schemas.openxmlformats.org/officeDocument/2006/docPropsVTypes"/>
</file>