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1 September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mgqdszozxa-_t_w_-bwrb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net office leasing rose 25% in 2025 to a record 61.4 million sq ft across the top 8 cities, on strong demand from both domestic and overseas companies; retail leasing in malls and high streets is estimated to rise a further 15% to nearly 9 million sq ft in 2026 amid increased supply and high retailer demand.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hz3o1cdqsv3jxw1gnvbyy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average asking price has climbed to around ₹12,100 per sq ft in mid-2026, up from roughly ₹10,950 in September 2025, with analysts projecting a further 6–10% appreciation over the year.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housing sales rose about 15% over the past year, with the luxury segment (homes above ₹1.5 crore) now accounting for close to 63% of the market — underscoring the premiumisation trend even as affordability pressures persist for middle-income buyers.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r2xkfccjbk3trxmk4m7x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 has moved to penalise builders who failed to submit mandatory annual audit reports for FY2024–25 despite repeated deadline extensions (12 September, 15 November, 12 December); the FY2023–24 deadline was extended without penalty to 20 January, with enforcement action to begin 1 April 2026 for continued non-compliance.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K-REAT ruling on email consent for project modifications (Section 14(2)(ii) of the RERA Act, 2016) remains the authority's other standing recent legal development.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lti5d2mp8o-cnmialt1w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Union Budget 2026–27 emphasises infrastructure-led urban development, raising public capital expenditure to ₹12.20 lakh crore (US$138.03 billion) to strengthen urban infrastructure and create new growth corridors for real estate.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2026, with investors showing strong preference for yield-generating, stable commercial assets such as office space.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6kokpjyjgfo-qsdgpap90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gqdszozxa-_t_w_-bwrb" Type="http://schemas.openxmlformats.org/officeDocument/2006/relationships/hyperlink" Target="https://realty.economictimes.indiatimes.com/" TargetMode="External"/><Relationship Id="rIdhz3o1cdqsv3jxw1gnvbyy" Type="http://schemas.openxmlformats.org/officeDocument/2006/relationships/hyperlink" Target="https://www.cushmanwakefield.com/en/india/insights" TargetMode="External"/><Relationship Id="rIdzr2xkfccjbk3trxmk4m7x" Type="http://schemas.openxmlformats.org/officeDocument/2006/relationships/hyperlink" Target="https://credai.org/home/" TargetMode="External"/><Relationship Id="rIdalti5d2mp8o-cnmialt1w" Type="http://schemas.openxmlformats.org/officeDocument/2006/relationships/hyperlink" Target="https://rera.karnataka.gov.in/home?language=en/" TargetMode="External"/><Relationship Id="rId6kokpjyjgfo-qsdgpap90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2026-09-01T03:39:45.542Z</dcterms:created>
  <dcterms:modified xsi:type="dcterms:W3CDTF">2026-09-01T03:39:45.554Z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