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23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Century Real Estate's planned ₹3,000 crore East Bengaluru project: a 14-acre development off the Outer Ring Road combining 1.7 million sq ft of residential space (750 apartments) with 0.5 million sq ft of commercial and retail zones.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residential market continues to show high absorption in the ₹1.5–2.5 crore ticket-size band, reinforcing the premiumisation trend noted in recent coverage.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1oeugvut0z1axzq5su2nq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office market recorded gross leasing volume of 21.9 MSF across the top 8 cities in Q1 2026, up 13% YoY, underpinned by demand from global multinationals, GCC expansion, and flex operators.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 institutional investment activity stood at US$1.6 billion in Q1 2026, up 26% YoY, with domestic investors contributing US$1.2 billion (76% of inflows).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vacancy across the top 8 cities averaged 13.85%, down ~48 bps quarter-on-quarter.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_ah2zwvkny-vlcpyvy5d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Bengaluru's representation to Karnataka's Urban Development Department and BMRDA — seeking higher FAR limits and a uniform statewide FAR framework — remains the standing story, with no new developments reported today.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Karnataka continues to back the draft Karnataka Apartment (Ownership and Management) Bill, 2026 (KAOMA) as a step toward stronger consumer protections and clearer redevelopment pathways for the state's ageing housing stock.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nyowrenjxbj87pvum0di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Karnataka RERA's early-July order against Adarsh Nivas Pvt. Ltd. — ₹79.84 lakh in delay interest to a homebuyer, plus completion of Adarsh Palm Acres Phase-2, Part-B within 60 days — remains the authority's most recent published enforcement action.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continues to be one of only four state authorities accepting e-signatures on both promoter and complainant filings, and maintains a public quarterly defaulters list naming promoters with overdue Quarterly Progress Reports.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7r7khp_v_f_6porm5hz2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with Chennai and Bengaluru together driving 27% of inflows.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Q1 2026 capital inflows hit a record ₹4.76 lakh crore (US$5.1 billion), up 72% YoY, with domestic investors contributing ~96% of the total — underscoring sustained local confidence in the sector.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la-toqvdk47yvmt74_ox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oeugvut0z1axzq5su2nq" Type="http://schemas.openxmlformats.org/officeDocument/2006/relationships/hyperlink" Target="https://realty.economictimes.indiatimes.com/" TargetMode="External"/><Relationship Id="rIdz_ah2zwvkny-vlcpyvy5d" Type="http://schemas.openxmlformats.org/officeDocument/2006/relationships/hyperlink" Target="https://www.cushmanwakefield.com/en/india/news" TargetMode="External"/><Relationship Id="rIdznyowrenjxbj87pvum0di" Type="http://schemas.openxmlformats.org/officeDocument/2006/relationships/hyperlink" Target="https://credai.org/home/" TargetMode="External"/><Relationship Id="rIda7r7khp_v_f_6porm5hz2" Type="http://schemas.openxmlformats.org/officeDocument/2006/relationships/hyperlink" Target="https://rera.karnataka.gov.in/home?language=en/" TargetMode="External"/><Relationship Id="rIdkla-toqvdk47yvmt74_ox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2026-07-23T03:39:29.565Z</dcterms:created>
  <dcterms:modified xsi:type="dcterms:W3CDTF">2026-07-23T03:39:29.581Z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