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44"/>
          <w:szCs w:val="44"/>
        </w:rPr>
        <w:t xml:space="preserve">Morning Real Estate News Digest</w:t>
      </w:r>
    </w:p>
    <w:p>
      <w:pPr>
        <w:spacing w:after="60"/>
        <w:jc w:val="center"/>
      </w:pPr>
      <w:r>
        <w:rPr>
          <w:color w:val="555555"/>
          <w:sz w:val="24"/>
          <w:szCs w:val="24"/>
        </w:rPr>
        <w:t xml:space="preserve">India &amp; Bengaluru Real Estate — Daily Roundup</w:t>
      </w:r>
    </w:p>
    <w:p>
      <w:pPr>
        <w:pBdr>
          <w:bottom w:val="single" w:color="CCCCCC" w:sz="6" w:space="8"/>
        </w:pBdr>
        <w:spacing w:after="200"/>
        <w:jc w:val="center"/>
      </w:pPr>
      <w:r>
        <w:rPr>
          <w:color w:val="888888"/>
          <w:sz w:val="22"/>
          <w:szCs w:val="22"/>
        </w:rPr>
        <w:t xml:space="preserve">Saturday, 5 September 2026</w:t>
      </w:r>
    </w:p>
    <w:p>
      <w:pPr>
        <w:pStyle w:val="Heading1"/>
        <w:spacing w:after="150" w:before="300"/>
      </w:pPr>
      <w:r>
        <w:t xml:space="preserve">ET Realty</w:t>
      </w:r>
    </w:p>
    <w:p>
      <w:pPr>
        <w:pStyle w:val="ListParagraph"/>
        <w:numPr>
          <w:ilvl w:val="0"/>
          <w:numId w:val="2"/>
        </w:numPr>
        <w:spacing w:after="100"/>
      </w:pPr>
      <w:r>
        <w:t xml:space="preserve">No new developments reported today; standing coverage continues to note Century Real Estate's ₹3,000 crore East Bengaluru project and ₹1,062 crore Q2 sales bookings, and Piramal Enterprises' investment in Puravankara Group.</w:t>
      </w:r>
    </w:p>
    <w:p>
      <w:pPr>
        <w:spacing w:after="300"/>
      </w:pPr>
      <w:r>
        <w:rPr>
          <w:i/>
          <w:iCs/>
          <w:color w:val="666666"/>
          <w:sz w:val="18"/>
          <w:szCs w:val="18"/>
        </w:rPr>
        <w:t xml:space="preserve">Source: </w:t>
      </w:r>
      <w:hyperlink w:history="1" r:id="rIdr4gypfacf1_tgwltpfspj">
        <w:r>
          <w:rPr>
            <w:rStyle w:val="Hyperlink"/>
            <w:sz w:val="18"/>
            <w:szCs w:val="18"/>
          </w:rPr>
          <w:t xml:space="preserve">https://realty.economictimes.indiatimes.com/</w:t>
        </w:r>
      </w:hyperlink>
    </w:p>
    <w:p>
      <w:pPr>
        <w:pStyle w:val="Heading1"/>
        <w:spacing w:after="150" w:before="300"/>
      </w:pPr>
      <w:r>
        <w:t xml:space="preserve">Cushman &amp; Wakefield — MarketBeat</w:t>
      </w:r>
    </w:p>
    <w:p>
      <w:pPr>
        <w:pStyle w:val="ListParagraph"/>
        <w:numPr>
          <w:ilvl w:val="0"/>
          <w:numId w:val="2"/>
        </w:numPr>
        <w:spacing w:after="100"/>
      </w:pPr>
      <w:r>
        <w:t xml:space="preserve">No new release surfaced today; standing figures remain Q1 2026 India office gross leasing of 21.9 MSF (+13% YoY), India's record flex-space H1 (191,000+ seats leased), and record 36.2 MSF logistics &amp; industrial leasing in H1 2026 (+18% YoY).</w:t>
      </w:r>
    </w:p>
    <w:p>
      <w:pPr>
        <w:spacing w:after="300"/>
      </w:pPr>
      <w:r>
        <w:rPr>
          <w:i/>
          <w:iCs/>
          <w:color w:val="666666"/>
          <w:sz w:val="18"/>
          <w:szCs w:val="18"/>
        </w:rPr>
        <w:t xml:space="preserve">Source: </w:t>
      </w:r>
      <w:hyperlink w:history="1" r:id="rIdi0au13wl7d0xlmdqz216l">
        <w:r>
          <w:rPr>
            <w:rStyle w:val="Hyperlink"/>
            <w:sz w:val="18"/>
            <w:szCs w:val="18"/>
          </w:rPr>
          <w:t xml:space="preserve">https://www.cushmanwakefield.com/en/india/insights</w:t>
        </w:r>
      </w:hyperlink>
    </w:p>
    <w:p>
      <w:pPr>
        <w:pStyle w:val="Heading1"/>
        <w:spacing w:after="150" w:before="300"/>
      </w:pPr>
      <w:r>
        <w:t xml:space="preserve">CREDAI</w:t>
      </w:r>
    </w:p>
    <w:p>
      <w:pPr>
        <w:pStyle w:val="ListParagraph"/>
        <w:numPr>
          <w:ilvl w:val="0"/>
          <w:numId w:val="2"/>
        </w:numPr>
        <w:spacing w:after="100"/>
      </w:pPr>
      <w:r>
        <w:t xml:space="preserve">No new developments reported today; Bengaluru's leading developers — Prestige Group, Sobha Limited, Brigade Group, Godrej Properties, Birla Estates, House of Hiranandani, and Skyline Constructions — and the city's ~₹12,100/sq ft average asking price remain the standing storylines.</w:t>
      </w:r>
    </w:p>
    <w:p>
      <w:pPr>
        <w:spacing w:after="300"/>
      </w:pPr>
      <w:r>
        <w:rPr>
          <w:i/>
          <w:iCs/>
          <w:color w:val="666666"/>
          <w:sz w:val="18"/>
          <w:szCs w:val="18"/>
        </w:rPr>
        <w:t xml:space="preserve">Source: </w:t>
      </w:r>
      <w:hyperlink w:history="1" r:id="rIdc9aa3vrk7pa2xjj_uxz3_">
        <w:r>
          <w:rPr>
            <w:rStyle w:val="Hyperlink"/>
            <w:sz w:val="18"/>
            <w:szCs w:val="18"/>
          </w:rPr>
          <w:t xml:space="preserve">https://credai.org/home/</w:t>
        </w:r>
      </w:hyperlink>
    </w:p>
    <w:p>
      <w:pPr>
        <w:pStyle w:val="Heading1"/>
        <w:spacing w:after="150" w:before="300"/>
      </w:pPr>
      <w:r>
        <w:t xml:space="preserve">RERA</w:t>
      </w:r>
    </w:p>
    <w:p>
      <w:pPr>
        <w:pStyle w:val="ListParagraph"/>
        <w:numPr>
          <w:ilvl w:val="0"/>
          <w:numId w:val="2"/>
        </w:numPr>
        <w:spacing w:after="100"/>
      </w:pPr>
      <w:r>
        <w:t xml:space="preserve">K-RERA has now moved from threatened to actual enforcement, invoking its powers to levy penalties on builders who missed repeated deadlines (through December) to submit FY2024–25 annual audit reports, with penalties based on each project's estimated cost.</w:t>
      </w:r>
    </w:p>
    <w:p>
      <w:pPr>
        <w:spacing w:after="300"/>
      </w:pPr>
      <w:r>
        <w:rPr>
          <w:i/>
          <w:iCs/>
          <w:color w:val="666666"/>
          <w:sz w:val="18"/>
          <w:szCs w:val="18"/>
        </w:rPr>
        <w:t xml:space="preserve">Source: </w:t>
      </w:r>
      <w:hyperlink w:history="1" r:id="rId8hvhghaavwtj-kflmh63x">
        <w:r>
          <w:rPr>
            <w:rStyle w:val="Hyperlink"/>
            <w:sz w:val="18"/>
            <w:szCs w:val="18"/>
          </w:rPr>
          <w:t xml:space="preserve">https://rera.karnataka.gov.in/home?language=en/</w:t>
        </w:r>
      </w:hyperlink>
    </w:p>
    <w:p>
      <w:pPr>
        <w:pStyle w:val="Heading1"/>
        <w:spacing w:after="150" w:before="300"/>
      </w:pPr>
      <w:r>
        <w:t xml:space="preserve">IBEF</w:t>
      </w:r>
    </w:p>
    <w:p>
      <w:pPr>
        <w:pStyle w:val="ListParagraph"/>
        <w:numPr>
          <w:ilvl w:val="0"/>
          <w:numId w:val="2"/>
        </w:numPr>
        <w:spacing w:after="100"/>
      </w:pPr>
      <w:r>
        <w:t xml:space="preserve">New real estate laws mandating centralised digital property registration, RERA compliance, and real-time project updates are boosting investor confidence, alongside continued strong institutional investment momentum through H1 2026.</w:t>
      </w:r>
    </w:p>
    <w:p>
      <w:pPr>
        <w:spacing w:after="300"/>
      </w:pPr>
      <w:r>
        <w:rPr>
          <w:i/>
          <w:iCs/>
          <w:color w:val="666666"/>
          <w:sz w:val="18"/>
          <w:szCs w:val="18"/>
        </w:rPr>
        <w:t xml:space="preserve">Source: </w:t>
      </w:r>
      <w:hyperlink w:history="1" r:id="rIdseswby1fkd-hz3o_vodzs">
        <w:r>
          <w:rPr>
            <w:rStyle w:val="Hyperlink"/>
            <w:sz w:val="18"/>
            <w:szCs w:val="18"/>
          </w:rPr>
          <w:t xml:space="preserve">https://www.ibef.org/industry/real-estate-india</w:t>
        </w:r>
      </w:hyperlink>
    </w:p>
    <w:p>
      <w:pPr>
        <w:spacing w:before="300"/>
      </w:pPr>
      <w:r>
        <w:rPr>
          <w:i/>
          <w:iCs/>
          <w:color w:val="999999"/>
          <w:sz w:val="18"/>
          <w:szCs w:val="18"/>
        </w:rPr>
        <w:t xml:space="preserve">Compiled automatically each morning from ET Realty, Cushman &amp; Wakefield MarketBeat, CREDAI, RERA, and IBEF. Figures reflect the latest publicly available reporting at compile time and may lag same-day announcements.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4gypfacf1_tgwltpfspj" Type="http://schemas.openxmlformats.org/officeDocument/2006/relationships/hyperlink" Target="https://realty.economictimes.indiatimes.com/" TargetMode="External"/><Relationship Id="rIdi0au13wl7d0xlmdqz216l" Type="http://schemas.openxmlformats.org/officeDocument/2006/relationships/hyperlink" Target="https://www.cushmanwakefield.com/en/india/insights" TargetMode="External"/><Relationship Id="rIdc9aa3vrk7pa2xjj_uxz3_" Type="http://schemas.openxmlformats.org/officeDocument/2006/relationships/hyperlink" Target="https://credai.org/home/" TargetMode="External"/><Relationship Id="rId8hvhghaavwtj-kflmh63x" Type="http://schemas.openxmlformats.org/officeDocument/2006/relationships/hyperlink" Target="https://rera.karnataka.gov.in/home?language=en/" TargetMode="External"/><Relationship Id="rIdseswby1fkd-hz3o_vodzs" Type="http://schemas.openxmlformats.org/officeDocument/2006/relationships/hyperlink" Target="https://www.ibef.org/industry/real-estate-india"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2026-09-05T03:39:21.821Z</dcterms:created>
  <dcterms:modified xsi:type="dcterms:W3CDTF">2026-09-05T03:39:21.833Z</dcterms:modified>
</cp:coreProperties>
</file>

<file path=docProps/custom.xml><?xml version="1.0" encoding="utf-8"?>
<Properties xmlns="http://schemas.openxmlformats.org/officeDocument/2006/custom-properties" xmlns:vt="http://schemas.openxmlformats.org/officeDocument/2006/docPropsVTypes"/>
</file>