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Sunday, 6 September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Century Real Estate's ₹3,000 crore East Bengaluru project and ₹1,062 crore Q2 sales bookings, and Piramal Enterprises' investment in Puravankara Group.</w:t>
      </w:r>
    </w:p>
    <w:p>
      <w:pPr>
        <w:spacing w:after="300"/>
      </w:pPr>
      <w:r>
        <w:rPr>
          <w:i/>
          <w:iCs/>
          <w:color w:val="666666"/>
          <w:sz w:val="18"/>
          <w:szCs w:val="18"/>
        </w:rPr>
        <w:t xml:space="preserve">Source: </w:t>
      </w:r>
      <w:hyperlink w:history="1" r:id="rIdvqxhn6iqn7eanaw2yiu0d">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No new release surfaced today; standing figures remain India's record flex-space H1 (191,000+ seats leased), record 36.2 MSF logistics &amp; industrial leasing in H1 2026 (+18% YoY), and Delhi NCR, Chennai, and Bengaluru's status as top investment destinations.</w:t>
      </w:r>
    </w:p>
    <w:p>
      <w:pPr>
        <w:spacing w:after="300"/>
      </w:pPr>
      <w:r>
        <w:rPr>
          <w:i/>
          <w:iCs/>
          <w:color w:val="666666"/>
          <w:sz w:val="18"/>
          <w:szCs w:val="18"/>
        </w:rPr>
        <w:t xml:space="preserve">Source: </w:t>
      </w:r>
      <w:hyperlink w:history="1" r:id="rIdk4mddkrqdql8rmgkdcqzj">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Beyond the Namma Metro network, infrastructure such as the Kempegowda International Airport corridor and the Outer Ring Road employment belt continues to open new residential frontiers in Bengaluru, reinforcing the city's premiumisation trend and its ~₹12,100/sq ft average asking price.</w:t>
      </w:r>
    </w:p>
    <w:p>
      <w:pPr>
        <w:spacing w:after="300"/>
      </w:pPr>
      <w:r>
        <w:rPr>
          <w:i/>
          <w:iCs/>
          <w:color w:val="666666"/>
          <w:sz w:val="18"/>
          <w:szCs w:val="18"/>
        </w:rPr>
        <w:t xml:space="preserve">Source: </w:t>
      </w:r>
      <w:hyperlink w:history="1" r:id="rIdfjy8tsq12qof_cgza_gsn">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No new K-RERA rulings surfaced today; the authority's penalty enforcement against builders who missed FY2024–25 annual audit report deadlines remains the standing story, with penalties tied to each project's estimated cost.</w:t>
      </w:r>
    </w:p>
    <w:p>
      <w:pPr>
        <w:spacing w:after="300"/>
      </w:pPr>
      <w:r>
        <w:rPr>
          <w:i/>
          <w:iCs/>
          <w:color w:val="666666"/>
          <w:sz w:val="18"/>
          <w:szCs w:val="18"/>
        </w:rPr>
        <w:t xml:space="preserve">Source: </w:t>
      </w:r>
      <w:hyperlink w:history="1" r:id="rIdmxmep9jsrus5smjflucax">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institutional real estate investment rose 23% YoY to ₹40,801 crore (US$4.33 billion) in H1 2026, supported by the National Real Estate Policy 2025's single-window clearance reforms and the Union Budget 2026–27's ₹12.20 lakh crore infrastructure-led urban development push.</w:t>
      </w:r>
    </w:p>
    <w:p>
      <w:pPr>
        <w:spacing w:after="300"/>
      </w:pPr>
      <w:r>
        <w:rPr>
          <w:i/>
          <w:iCs/>
          <w:color w:val="666666"/>
          <w:sz w:val="18"/>
          <w:szCs w:val="18"/>
        </w:rPr>
        <w:t xml:space="preserve">Source: </w:t>
      </w:r>
      <w:hyperlink w:history="1" r:id="rIde-ikanq0t3ef0p7lhvghc">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xhn6iqn7eanaw2yiu0d" Type="http://schemas.openxmlformats.org/officeDocument/2006/relationships/hyperlink" Target="https://realty.economictimes.indiatimes.com/" TargetMode="External"/><Relationship Id="rIdk4mddkrqdql8rmgkdcqzj" Type="http://schemas.openxmlformats.org/officeDocument/2006/relationships/hyperlink" Target="https://www.cushmanwakefield.com/en/india/insights" TargetMode="External"/><Relationship Id="rIdfjy8tsq12qof_cgza_gsn" Type="http://schemas.openxmlformats.org/officeDocument/2006/relationships/hyperlink" Target="https://credai.org/home/" TargetMode="External"/><Relationship Id="rIdmxmep9jsrus5smjflucax" Type="http://schemas.openxmlformats.org/officeDocument/2006/relationships/hyperlink" Target="https://rera.karnataka.gov.in/home?language=en/" TargetMode="External"/><Relationship Id="rIde-ikanq0t3ef0p7lhvghc"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2026-09-06T03:39:42.238Z</dcterms:created>
  <dcterms:modified xsi:type="dcterms:W3CDTF">2026-09-06T03:39:42.255Z</dcterms:modified>
</cp:coreProperties>
</file>

<file path=docProps/custom.xml><?xml version="1.0" encoding="utf-8"?>
<Properties xmlns="http://schemas.openxmlformats.org/officeDocument/2006/custom-properties" xmlns:vt="http://schemas.openxmlformats.org/officeDocument/2006/docPropsVTypes"/>
</file>