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Thursday, 20 August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Century Real Estate's ₹1,062 crore Q2 sales bookings and Piramal Enterprises' investment in Puravankara Group.</w:t>
      </w:r>
    </w:p>
    <w:p>
      <w:pPr>
        <w:spacing w:after="300"/>
      </w:pPr>
      <w:r>
        <w:rPr>
          <w:i/>
          <w:iCs/>
          <w:color w:val="666666"/>
          <w:sz w:val="18"/>
          <w:szCs w:val="18"/>
        </w:rPr>
        <w:t xml:space="preserve">Source: </w:t>
      </w:r>
      <w:hyperlink w:history="1" r:id="rIdvqibvpvt1wclklrnivryt">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Cushman &amp; Wakefield India's two honours at the 2026 Asia Pacific Property Awards mark the firm's sixth overall and fifth consecutive APPA win, underscoring its continued strength in advisory, client service, and market positioning.</w:t>
      </w:r>
    </w:p>
    <w:p>
      <w:pPr>
        <w:pStyle w:val="ListParagraph"/>
        <w:numPr>
          <w:ilvl w:val="0"/>
          <w:numId w:val="2"/>
        </w:numPr>
        <w:spacing w:after="100"/>
      </w:pPr>
      <w:r>
        <w:t xml:space="preserve">India's office market stayed resilient in Q2 2026 with gross leasing volumes of ~21.4 MSF across the top 8 cities despite global economic uncertainty.</w:t>
      </w:r>
    </w:p>
    <w:p>
      <w:pPr>
        <w:spacing w:after="300"/>
      </w:pPr>
      <w:r>
        <w:rPr>
          <w:i/>
          <w:iCs/>
          <w:color w:val="666666"/>
          <w:sz w:val="18"/>
          <w:szCs w:val="18"/>
        </w:rPr>
        <w:t xml:space="preserve">Source: </w:t>
      </w:r>
      <w:hyperlink w:history="1" r:id="rIdq1c1segfutaectltbj0yz">
        <w:r>
          <w:rPr>
            <w:rStyle w:val="Hyperlink"/>
            <w:sz w:val="18"/>
            <w:szCs w:val="18"/>
          </w:rPr>
          <w:t xml:space="preserve">https://www.cushmanwakefield.com/en/india/insights</w:t>
        </w:r>
      </w:hyperlink>
    </w:p>
    <w:p>
      <w:pPr>
        <w:pStyle w:val="Heading1"/>
        <w:spacing w:after="150" w:before="300"/>
      </w:pPr>
      <w:r>
        <w:t xml:space="preserve">CREDAI</w:t>
      </w:r>
    </w:p>
    <w:p>
      <w:pPr>
        <w:pStyle w:val="ListParagraph"/>
        <w:numPr>
          <w:ilvl w:val="0"/>
          <w:numId w:val="2"/>
        </w:numPr>
        <w:spacing w:after="100"/>
      </w:pPr>
      <w:r>
        <w:t xml:space="preserve">CREDAI Bengaluru's letter to Karnataka's Revenue Minister on e-khata concerns was also presented to the Special Commissioner (Revenue) of BBMP, broadening the representation beyond the state government to the city's civic administration.</w:t>
      </w:r>
    </w:p>
    <w:p>
      <w:pPr>
        <w:pStyle w:val="ListParagraph"/>
        <w:numPr>
          <w:ilvl w:val="0"/>
          <w:numId w:val="2"/>
        </w:numPr>
        <w:spacing w:after="100"/>
      </w:pPr>
      <w:r>
        <w:t xml:space="preserve">Bengaluru's 15% share of national residential sales (2024) and lowest inventory overhang among major cities remain the other standing storyline.</w:t>
      </w:r>
    </w:p>
    <w:p>
      <w:pPr>
        <w:spacing w:after="300"/>
      </w:pPr>
      <w:r>
        <w:rPr>
          <w:i/>
          <w:iCs/>
          <w:color w:val="666666"/>
          <w:sz w:val="18"/>
          <w:szCs w:val="18"/>
        </w:rPr>
        <w:t xml:space="preserve">Source: </w:t>
      </w:r>
      <w:hyperlink w:history="1" r:id="rIdb6yfricfm5vtgbnuo5ulh">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No new K-RERA rulings surfaced today; the authority's crackdown on unregistered projects and the MoHUA-recommended four-month force-majeure extension for West Asia conflict-impacted projects (completion deadlines on or after 28 February 2026) remain the most recent developments.</w:t>
      </w:r>
    </w:p>
    <w:p>
      <w:pPr>
        <w:spacing w:after="300"/>
      </w:pPr>
      <w:r>
        <w:rPr>
          <w:i/>
          <w:iCs/>
          <w:color w:val="666666"/>
          <w:sz w:val="18"/>
          <w:szCs w:val="18"/>
        </w:rPr>
        <w:t xml:space="preserve">Source: </w:t>
      </w:r>
      <w:hyperlink w:history="1" r:id="rIdvr9rc5tz8ldegibjo9ti6">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India's institutional real estate investment rose 23% YoY to ₹40,801 crore (US$4.33 billion) in H1 2026 across a record 54 transactions, with domestic investors contributing a record 64% share; full-year 2026 investment is projected at ₹80,096–84,807 crore (US$8.50–9.00 billion).</w:t>
      </w:r>
    </w:p>
    <w:p>
      <w:pPr>
        <w:spacing w:after="300"/>
      </w:pPr>
      <w:r>
        <w:rPr>
          <w:i/>
          <w:iCs/>
          <w:color w:val="666666"/>
          <w:sz w:val="18"/>
          <w:szCs w:val="18"/>
        </w:rPr>
        <w:t xml:space="preserve">Source: </w:t>
      </w:r>
      <w:hyperlink w:history="1" r:id="rIdsvcvjj3mcts212i_cqsey">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ibvpvt1wclklrnivryt" Type="http://schemas.openxmlformats.org/officeDocument/2006/relationships/hyperlink" Target="https://realty.economictimes.indiatimes.com/" TargetMode="External"/><Relationship Id="rIdq1c1segfutaectltbj0yz" Type="http://schemas.openxmlformats.org/officeDocument/2006/relationships/hyperlink" Target="https://www.cushmanwakefield.com/en/india/insights" TargetMode="External"/><Relationship Id="rIdb6yfricfm5vtgbnuo5ulh" Type="http://schemas.openxmlformats.org/officeDocument/2006/relationships/hyperlink" Target="https://credai.org/home/" TargetMode="External"/><Relationship Id="rIdvr9rc5tz8ldegibjo9ti6" Type="http://schemas.openxmlformats.org/officeDocument/2006/relationships/hyperlink" Target="https://rera.karnataka.gov.in/home?language=en/" TargetMode="External"/><Relationship Id="rIdsvcvjj3mcts212i_cqsey"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2026-08-20T03:39:44.427Z</dcterms:created>
  <dcterms:modified xsi:type="dcterms:W3CDTF">2026-08-20T03:39:44.434Z</dcterms:modified>
</cp:coreProperties>
</file>

<file path=docProps/custom.xml><?xml version="1.0" encoding="utf-8"?>
<Properties xmlns="http://schemas.openxmlformats.org/officeDocument/2006/custom-properties" xmlns:vt="http://schemas.openxmlformats.org/officeDocument/2006/docPropsVTypes"/>
</file>