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30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 recorded 12,442 residential launches in Q3 2026, with East and South-East submarkets (Varthur, Panathur Road, Sarjapur Road) most active; year-to-date launches have reached a record ~37,650 units, with affordable housing supply also showing a resurgence alongside continued high-end dominance.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major occupier has leased around 220,000 sq ft of office space at Bhartiya Centre of Information Technology (BCIT) within the Bhartiya City integrated development in Bengaluru.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7jl-8hfg-hwzfdiyefdr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Q2 2026 institutional investment of USD 1.9 billion (+16% QoQ), with Bengaluru leading city-wise activity at a 23% share, and India's data centre pipeline through 2030 reaching 3,860 MW.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90947o6dfbpbni6q5yjy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new CREDAI Bengaluru President Zayd Noaman's reform memorandum to the Karnataka government and the standing stamp duty cap and e-khata advocacy remain the open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ukwhgntw-pizqgqb_tep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504 cases against 41 developers owing ₹117 crore to homebuyers and the authority's 8,357+ registered projects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egfn7nasfcsaaqk3luji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$18.6 billion in equity investments during January-September 2026, already surpassing the $14.2 billion raised in all of 2025; Q3 2026 equity inflows of $9.5 billion were more than double the $4.4 billion recorded in the same quarter last year.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teaz9demykct3atbxa8o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7jl-8hfg-hwzfdiyefdr" Type="http://schemas.openxmlformats.org/officeDocument/2006/relationships/hyperlink" Target="https://realty.economictimes.indiatimes.com/" TargetMode="External"/><Relationship Id="rIdf90947o6dfbpbni6q5yjy" Type="http://schemas.openxmlformats.org/officeDocument/2006/relationships/hyperlink" Target="https://www.cushmanwakefield.com/en/india/insights" TargetMode="External"/><Relationship Id="rIdcukwhgntw-pizqgqb_tep" Type="http://schemas.openxmlformats.org/officeDocument/2006/relationships/hyperlink" Target="https://credai.org/home/" TargetMode="External"/><Relationship Id="rIdpegfn7nasfcsaaqk3luji" Type="http://schemas.openxmlformats.org/officeDocument/2006/relationships/hyperlink" Target="https://rera.karnataka.gov.in/home?language=en/" TargetMode="External"/><Relationship Id="rIdcteaz9demykct3atbxa8o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2026-09-30T03:46:09.448Z</dcterms:created>
  <dcterms:modified xsi:type="dcterms:W3CDTF">2026-09-30T03:46:09.458Z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