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Thursday, 10 September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note Century Real Estate's ₹3,000 crore East Bengaluru project and ₹1,062 crore Q2 sales bookings, and Piramal Enterprises' investment in Puravankara Group.</w:t>
      </w:r>
    </w:p>
    <w:p>
      <w:pPr>
        <w:spacing w:after="300"/>
      </w:pPr>
      <w:r>
        <w:rPr>
          <w:i/>
          <w:iCs/>
          <w:color w:val="666666"/>
          <w:sz w:val="18"/>
          <w:szCs w:val="18"/>
        </w:rPr>
        <w:t xml:space="preserve">Source: </w:t>
      </w:r>
      <w:hyperlink w:history="1" r:id="rIddqxzniyriiz74fymcdux0">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India has seen 18,159 acres of land transacted over the past five years across 892 deals in 33 cities (2021–early 2026), with 2025 transactions running at 1.6 times the prior 2024 peak — a sharp acceleration driven by infrastructure spend and job creation beyond established urban centres, per Cushman &amp; Wakefield's latest land markets report.</w:t>
      </w:r>
    </w:p>
    <w:p>
      <w:pPr>
        <w:pStyle w:val="ListParagraph"/>
        <w:numPr>
          <w:ilvl w:val="0"/>
          <w:numId w:val="2"/>
        </w:numPr>
        <w:spacing w:after="100"/>
      </w:pPr>
      <w:r>
        <w:t xml:space="preserve">This transacted land carries potential for nearly 1.4 billion sq ft of future built-up area and an estimated ₹16.67 trillion in revenue; residential remains the largest land-use category at 45% of total transacted acreage between 2021 and Q1 2026.</w:t>
      </w:r>
    </w:p>
    <w:p>
      <w:pPr>
        <w:spacing w:after="300"/>
      </w:pPr>
      <w:r>
        <w:rPr>
          <w:i/>
          <w:iCs/>
          <w:color w:val="666666"/>
          <w:sz w:val="18"/>
          <w:szCs w:val="18"/>
        </w:rPr>
        <w:t xml:space="preserve">Source: </w:t>
      </w:r>
      <w:hyperlink w:history="1" r:id="rIdbrjyndnoqr6gznoflxzxn">
        <w:r>
          <w:rPr>
            <w:rStyle w:val="Hyperlink"/>
            <w:sz w:val="18"/>
            <w:szCs w:val="18"/>
          </w:rPr>
          <w:t xml:space="preserve">https://www.cushmanwakefield.com/en/india/news</w:t>
        </w:r>
      </w:hyperlink>
    </w:p>
    <w:p>
      <w:pPr>
        <w:pStyle w:val="Heading1"/>
        <w:spacing w:after="150" w:before="300"/>
      </w:pPr>
      <w:r>
        <w:t xml:space="preserve">CREDAI</w:t>
      </w:r>
    </w:p>
    <w:p>
      <w:pPr>
        <w:pStyle w:val="ListParagraph"/>
        <w:numPr>
          <w:ilvl w:val="0"/>
          <w:numId w:val="2"/>
        </w:numPr>
        <w:spacing w:after="100"/>
      </w:pPr>
      <w:r>
        <w:t xml:space="preserve">No new developments reported today; CREDAI Bengaluru's e-khata representation to Revenue Minister Krishna Byre Gowda and the city's ~₹12,100/sq ft average asking price (up from ~₹10,950 in September 2025) remain the standing storylines.</w:t>
      </w:r>
    </w:p>
    <w:p>
      <w:pPr>
        <w:spacing w:after="300"/>
      </w:pPr>
      <w:r>
        <w:rPr>
          <w:i/>
          <w:iCs/>
          <w:color w:val="666666"/>
          <w:sz w:val="18"/>
          <w:szCs w:val="18"/>
        </w:rPr>
        <w:t xml:space="preserve">Source: </w:t>
      </w:r>
      <w:hyperlink w:history="1" r:id="rIdzhqqf5vvoodfwgclqe-jg">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No new K-RERA rulings surfaced today; the authority's penalty enforcement against builders who missed FY2024–25 annual audit report deadlines remains the standing enforcement story, with the FY2023–24 deadline (extended to 20 January) also entering its penalty phase.</w:t>
      </w:r>
    </w:p>
    <w:p>
      <w:pPr>
        <w:spacing w:after="300"/>
      </w:pPr>
      <w:r>
        <w:rPr>
          <w:i/>
          <w:iCs/>
          <w:color w:val="666666"/>
          <w:sz w:val="18"/>
          <w:szCs w:val="18"/>
        </w:rPr>
        <w:t xml:space="preserve">Source: </w:t>
      </w:r>
      <w:hyperlink w:history="1" r:id="rIdsmg0effjipgzw72qr3vqf">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India's institutional real estate investment rose 23% YoY to ₹40,801 crore (US$4.33 billion) in H1 2026, supported by the Union Budget 2026–27's ₹12.20 lakh crore infrastructure-led urban development push.</w:t>
      </w:r>
    </w:p>
    <w:p>
      <w:pPr>
        <w:spacing w:after="300"/>
      </w:pPr>
      <w:r>
        <w:rPr>
          <w:i/>
          <w:iCs/>
          <w:color w:val="666666"/>
          <w:sz w:val="18"/>
          <w:szCs w:val="18"/>
        </w:rPr>
        <w:t xml:space="preserve">Source: </w:t>
      </w:r>
      <w:hyperlink w:history="1" r:id="rIdzinyfbvp9zlgyvqrnaqbc">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qxzniyriiz74fymcdux0" Type="http://schemas.openxmlformats.org/officeDocument/2006/relationships/hyperlink" Target="https://realty.economictimes.indiatimes.com/" TargetMode="External"/><Relationship Id="rIdbrjyndnoqr6gznoflxzxn" Type="http://schemas.openxmlformats.org/officeDocument/2006/relationships/hyperlink" Target="https://www.cushmanwakefield.com/en/india/news" TargetMode="External"/><Relationship Id="rIdzhqqf5vvoodfwgclqe-jg" Type="http://schemas.openxmlformats.org/officeDocument/2006/relationships/hyperlink" Target="https://credai.org/home/" TargetMode="External"/><Relationship Id="rIdsmg0effjipgzw72qr3vqf" Type="http://schemas.openxmlformats.org/officeDocument/2006/relationships/hyperlink" Target="https://rera.karnataka.gov.in/home?language=en/" TargetMode="External"/><Relationship Id="rIdzinyfbvp9zlgyvqrnaqbc"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2026-09-10T03:39:29.460Z</dcterms:created>
  <dcterms:modified xsi:type="dcterms:W3CDTF">2026-09-10T03:39:29.471Z</dcterms:modified>
</cp:coreProperties>
</file>

<file path=docProps/custom.xml><?xml version="1.0" encoding="utf-8"?>
<Properties xmlns="http://schemas.openxmlformats.org/officeDocument/2006/custom-properties" xmlns:vt="http://schemas.openxmlformats.org/officeDocument/2006/docPropsVTypes"/>
</file>