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Sunday, 16 August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Century Real Estate's ₹3,000 crore East Bengaluru project and ₹1,062 crore Q2 sales bookings,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tzcokhyayd0f6eqtnr0j3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India's record 36.2 MSF logistics &amp; industrial leasing in H1 2026 (+18% YoY), office leading real estate investment for a fourth consecutive quarter, and the two 2026 Asia Pacific Property Awards honours.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4qxvjlg7un3vrer8qsujd">
        <w:r>
          <w:rPr>
            <w:rStyle w:val="Hyperlink"/>
            <w:sz w:val="18"/>
            <w:szCs w:val="18"/>
          </w:rPr>
          <w:t xml:space="preserve">https://www.cushmanwakefield.com/en/india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Bengaluru's 15% share of national residential sales (2024) and lowest inventory overhang among major cities, and CREDAI Bengaluru's reform memorandum to the Karnataka government, remain the open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8ht7zcxoodoxjumoa2ujf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authority's crackdown on unregistered projects, its quarterly defaulters list naming promoters with overdue Quarterly Progress Reports, and its status as one of only four states accepting e-signatures on both promoter and complainant filings remain the standing features.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et5gymyibbdysiviqi0vl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institutional real estate investment rose 23% YoY to ₹40,801 crore (US$4.33 billion) in H1 2026 across a record 54 transactions, with domestic investors contributing a record 64% share; full-year 2026 investment is projected at ₹80,096–84,807 crore (US$8.50–9.00 billion).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ml7y5avjbcfdsvnjqj8bd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zcokhyayd0f6eqtnr0j3" Type="http://schemas.openxmlformats.org/officeDocument/2006/relationships/hyperlink" Target="https://realty.economictimes.indiatimes.com/" TargetMode="External"/><Relationship Id="rId4qxvjlg7un3vrer8qsujd" Type="http://schemas.openxmlformats.org/officeDocument/2006/relationships/hyperlink" Target="https://www.cushmanwakefield.com/en/india" TargetMode="External"/><Relationship Id="rId8ht7zcxoodoxjumoa2ujf" Type="http://schemas.openxmlformats.org/officeDocument/2006/relationships/hyperlink" Target="https://credai.org/home/" TargetMode="External"/><Relationship Id="rIdet5gymyibbdysiviqi0vl" Type="http://schemas.openxmlformats.org/officeDocument/2006/relationships/hyperlink" Target="https://rera.karnataka.gov.in/home?language=en/" TargetMode="External"/><Relationship Id="rIdml7y5avjbcfdsvnjqj8bd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2026-08-16T03:39:14.017Z</dcterms:created>
  <dcterms:modified xsi:type="dcterms:W3CDTF">2026-08-16T03:39:14.030Z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