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Wednesday, 2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ntdxctnbjxugmcbcupuyq">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No new release surfaced today; standing figures remain India's record 61.4 million sq ft net office leasing in 2025 (+25% YoY), and retail leasing in malls and high streets projected to rise 15% to nearly 9 million sq ft in 2026.</w:t>
      </w:r>
    </w:p>
    <w:p>
      <w:pPr>
        <w:spacing w:after="300"/>
      </w:pPr>
      <w:r>
        <w:rPr>
          <w:i/>
          <w:iCs/>
          <w:color w:val="666666"/>
          <w:sz w:val="18"/>
          <w:szCs w:val="18"/>
        </w:rPr>
        <w:t xml:space="preserve">Source: </w:t>
      </w:r>
      <w:hyperlink w:history="1" r:id="rId4lm0u4d4x-k4riw_q2r1w">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Bengaluru's real estate market continues to be led by major developers including Prestige Group, Sobha Limited, Brigade Group, Godrej Properties, and Birla Estates, alongside established names such as House of Hiranandani and Skyline Constructions.</w:t>
      </w:r>
    </w:p>
    <w:p>
      <w:pPr>
        <w:pStyle w:val="ListParagraph"/>
        <w:numPr>
          <w:ilvl w:val="0"/>
          <w:numId w:val="2"/>
        </w:numPr>
        <w:spacing w:after="100"/>
      </w:pPr>
      <w:r>
        <w:t xml:space="preserve">Bengaluru's average asking price stands at ~₹12,100 per sq ft in mid-2026 (up from ~₹10,950 in September 2025), with housing sales up ~15% YoY and the luxury segment (above ₹1.5 crore) now accounting for close to 63% of the market.</w:t>
      </w:r>
    </w:p>
    <w:p>
      <w:pPr>
        <w:spacing w:after="300"/>
      </w:pPr>
      <w:r>
        <w:rPr>
          <w:i/>
          <w:iCs/>
          <w:color w:val="666666"/>
          <w:sz w:val="18"/>
          <w:szCs w:val="18"/>
        </w:rPr>
        <w:t xml:space="preserve">Source: </w:t>
      </w:r>
      <w:hyperlink w:history="1" r:id="rId2ga0mkgsiito2i5uv7mbo">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penalty push against builders who failed to submit FY2024–25 annual audit reports, and the K-REAT ruling on email consent for project modifications, remain the most recent developments.</w:t>
      </w:r>
    </w:p>
    <w:p>
      <w:pPr>
        <w:spacing w:after="300"/>
      </w:pPr>
      <w:r>
        <w:rPr>
          <w:i/>
          <w:iCs/>
          <w:color w:val="666666"/>
          <w:sz w:val="18"/>
          <w:szCs w:val="18"/>
        </w:rPr>
        <w:t xml:space="preserve">Source: </w:t>
      </w:r>
      <w:hyperlink w:history="1" r:id="rId0qzl-lstjubi_brdmvb2q">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institutional real estate investment rose 23% YoY to ₹40,801 crore (US$4.33 billion) in H1 2026, with the Union Budget 2026–27's ₹12.20 lakh crore (US$138.03 billion) public capex push toward infrastructure-led urban development continuing to support growth corridors for the sector.</w:t>
      </w:r>
    </w:p>
    <w:p>
      <w:pPr>
        <w:spacing w:after="300"/>
      </w:pPr>
      <w:r>
        <w:rPr>
          <w:i/>
          <w:iCs/>
          <w:color w:val="666666"/>
          <w:sz w:val="18"/>
          <w:szCs w:val="18"/>
        </w:rPr>
        <w:t xml:space="preserve">Source: </w:t>
      </w:r>
      <w:hyperlink w:history="1" r:id="rIdui-w7frtbp0vivyqyiqou">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dxctnbjxugmcbcupuyq" Type="http://schemas.openxmlformats.org/officeDocument/2006/relationships/hyperlink" Target="https://realty.economictimes.indiatimes.com/" TargetMode="External"/><Relationship Id="rId4lm0u4d4x-k4riw_q2r1w" Type="http://schemas.openxmlformats.org/officeDocument/2006/relationships/hyperlink" Target="https://www.cushmanwakefield.com/en/india/insights" TargetMode="External"/><Relationship Id="rId2ga0mkgsiito2i5uv7mbo" Type="http://schemas.openxmlformats.org/officeDocument/2006/relationships/hyperlink" Target="https://credai.org/home/" TargetMode="External"/><Relationship Id="rId0qzl-lstjubi_brdmvb2q" Type="http://schemas.openxmlformats.org/officeDocument/2006/relationships/hyperlink" Target="https://rera.karnataka.gov.in/home?language=en/" TargetMode="External"/><Relationship Id="rIdui-w7frtbp0vivyqyiqou"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2026-09-02T03:39:43.209Z</dcterms:created>
  <dcterms:modified xsi:type="dcterms:W3CDTF">2026-09-02T03:39:43.227Z</dcterms:modified>
</cp:coreProperties>
</file>

<file path=docProps/custom.xml><?xml version="1.0" encoding="utf-8"?>
<Properties xmlns="http://schemas.openxmlformats.org/officeDocument/2006/custom-properties" xmlns:vt="http://schemas.openxmlformats.org/officeDocument/2006/docPropsVTypes"/>
</file>